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cs="宋体" w:hAnsiTheme="majorEastAsia"/>
          <w:color w:val="000000"/>
          <w:kern w:val="0"/>
          <w:sz w:val="36"/>
          <w:szCs w:val="36"/>
        </w:rPr>
      </w:pPr>
      <w:r>
        <w:rPr>
          <w:rFonts w:hint="eastAsia" w:ascii="黑体" w:eastAsia="黑体" w:cs="宋体" w:hAnsiTheme="majorEastAsia"/>
          <w:color w:val="000000"/>
          <w:kern w:val="0"/>
          <w:sz w:val="36"/>
          <w:szCs w:val="36"/>
        </w:rPr>
        <w:t>湖南工程学院二级网站管理办法</w:t>
      </w:r>
    </w:p>
    <w:p>
      <w:pPr>
        <w:spacing w:line="360" w:lineRule="auto"/>
        <w:jc w:val="center"/>
        <w:rPr>
          <w:rFonts w:ascii="仿宋_GB2312" w:eastAsia="仿宋_GB2312" w:cs="宋体" w:hAnsiTheme="majorEastAsia"/>
          <w:b/>
          <w:color w:val="000000"/>
          <w:kern w:val="0"/>
          <w:sz w:val="30"/>
          <w:szCs w:val="30"/>
        </w:rPr>
      </w:pP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为进一步加强校园网信息资源建设，充分发挥计算机网络优势，全面体现学校的办学水平、办学实力和特色，不断扩大我校的社会知名度和影响力，特制定本办法。</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学校二级网站是指校直各单位制作和维护、并通过学校网站发布的部门网站或学院（部、中心）网站和专题网站，是学校网站的重要组成部分。充分发挥二级网站在教学、科研、管理、党建、宣传和思想政治教育工作中的作用，对树立学校良好形象，展示二级单位工作进程和办学成果、办学积淀有</w:t>
      </w:r>
      <w:r>
        <w:rPr>
          <w:rFonts w:hint="eastAsia" w:ascii="仿宋_GB2312" w:eastAsia="仿宋_GB2312" w:hAnsiTheme="majorEastAsia"/>
          <w:sz w:val="30"/>
          <w:szCs w:val="30"/>
          <w:lang w:eastAsia="zh-CN"/>
        </w:rPr>
        <w:t>十分</w:t>
      </w:r>
      <w:r>
        <w:rPr>
          <w:rFonts w:hint="eastAsia" w:ascii="仿宋_GB2312" w:eastAsia="仿宋_GB2312" w:hAnsiTheme="majorEastAsia"/>
          <w:sz w:val="30"/>
          <w:szCs w:val="30"/>
        </w:rPr>
        <w:t>重要的</w:t>
      </w:r>
      <w:r>
        <w:rPr>
          <w:rFonts w:hint="eastAsia" w:ascii="仿宋_GB2312" w:eastAsia="仿宋_GB2312" w:hAnsiTheme="majorEastAsia"/>
          <w:sz w:val="30"/>
          <w:szCs w:val="30"/>
          <w:lang w:eastAsia="zh-CN"/>
        </w:rPr>
        <w:t>意义</w:t>
      </w:r>
      <w:r>
        <w:rPr>
          <w:rFonts w:hint="eastAsia" w:ascii="仿宋_GB2312" w:eastAsia="仿宋_GB2312" w:hAnsiTheme="majorEastAsia"/>
          <w:sz w:val="30"/>
          <w:szCs w:val="30"/>
        </w:rPr>
        <w:t>。</w:t>
      </w:r>
    </w:p>
    <w:p>
      <w:pPr>
        <w:spacing w:line="360" w:lineRule="auto"/>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一</w:t>
      </w:r>
      <w:r>
        <w:rPr>
          <w:rFonts w:hint="eastAsia" w:ascii="黑体" w:hAnsi="黑体" w:eastAsia="黑体" w:cs="黑体"/>
          <w:b w:val="0"/>
          <w:bCs w:val="0"/>
          <w:sz w:val="30"/>
          <w:szCs w:val="30"/>
        </w:rPr>
        <w:t>、二级网站建设原则</w:t>
      </w:r>
    </w:p>
    <w:p>
      <w:pPr>
        <w:spacing w:line="360" w:lineRule="auto"/>
        <w:ind w:firstLine="600" w:firstLineChars="200"/>
        <w:rPr>
          <w:rFonts w:ascii="仿宋_GB2312" w:eastAsia="仿宋_GB2312" w:hAnsiTheme="majorEastAsia"/>
          <w:b/>
          <w:sz w:val="30"/>
          <w:szCs w:val="30"/>
        </w:rPr>
      </w:pPr>
      <w:r>
        <w:rPr>
          <w:rFonts w:hint="eastAsia" w:ascii="仿宋_GB2312" w:eastAsia="仿宋_GB2312" w:hAnsiTheme="majorEastAsia"/>
          <w:sz w:val="30"/>
          <w:szCs w:val="30"/>
        </w:rPr>
        <w:t>1、坚持正确的舆论导向，确保信息安全，弘扬社会主旋律，利用好发挥好网站宣传教育作用。</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2．各二级网站的宣传教育工作在学校党委统一领导下进行。各二级网站坚持“谁主管、谁负责，谁主办、谁负责”的原则，实行各党总支</w:t>
      </w:r>
      <w:r>
        <w:rPr>
          <w:rFonts w:hint="eastAsia" w:ascii="仿宋_GB2312" w:eastAsia="仿宋_GB2312" w:hAnsiTheme="majorEastAsia"/>
          <w:sz w:val="30"/>
          <w:szCs w:val="30"/>
          <w:lang w:eastAsia="zh-CN"/>
        </w:rPr>
        <w:t>（直属党支部</w:t>
      </w:r>
      <w:r>
        <w:rPr>
          <w:rFonts w:hint="eastAsia" w:ascii="仿宋_GB2312" w:eastAsia="仿宋_GB2312" w:hAnsiTheme="majorEastAsia"/>
          <w:sz w:val="30"/>
          <w:szCs w:val="30"/>
        </w:rPr>
        <w:t>）书记和部门主要领导负责制，认真管理好本单位的网站。</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3．党委宣传部负责对各二级网站的监督和检查，对校内新开设网站和新增相关服务进行审批。各二级网站配备网络管理员，负责及时更新本单位的网上信息，做好信息安全维护。</w:t>
      </w:r>
    </w:p>
    <w:p>
      <w:pPr>
        <w:spacing w:line="360" w:lineRule="auto"/>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二、二级网站</w:t>
      </w:r>
      <w:r>
        <w:rPr>
          <w:rFonts w:hint="eastAsia" w:ascii="黑体" w:hAnsi="黑体" w:eastAsia="黑体" w:cs="黑体"/>
          <w:b w:val="0"/>
          <w:bCs w:val="0"/>
          <w:sz w:val="30"/>
          <w:szCs w:val="30"/>
          <w:lang w:eastAsia="zh-CN"/>
        </w:rPr>
        <w:t>建设</w:t>
      </w:r>
      <w:r>
        <w:rPr>
          <w:rFonts w:hint="eastAsia" w:ascii="黑体" w:hAnsi="黑体" w:eastAsia="黑体" w:cs="黑体"/>
          <w:b w:val="0"/>
          <w:bCs w:val="0"/>
          <w:sz w:val="30"/>
          <w:szCs w:val="30"/>
        </w:rPr>
        <w:t>内容要求</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1．各二级网站的版式设计、视觉设计应力求简洁明快，美观大方，色彩搭配协调。</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2．各二级网站栏目的设置要求简洁明了，便利实用，具体要求如下：</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首页基本要素应包括：</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（1）校名、网站名、网站主办单位或部门、联系电话和信箱、学校网站首页的链接。</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2）管理服务部门网站栏目设置与内容要与工作业务紧密结合，突出办事流程。网站栏目一般应包括：部门简介、机构设置（部门负责人及联系方式）、工作职责、办事指南（办事流程、常用下载）、工作动态、公告通知、文件汇编、政务公开等栏目，注意信息内外有别，禁止将涉及工作秘密的内容上网。（栏目设置参考标准具体要求见附件1）</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3）学院（部、中心）网站应体现人才培养中心工作，展示好学院、学科、学人、学生的信息，栏目设置和内容要进一步突出教学科研、人才培养等中心工作。网站栏目一般应包括：院（部）概况、机构设置（班子成员及联系方式）、学科专业、教育教学（师资队伍、学科建设、人才培养）、公告通知、院（部）动态、学生及党建工作、招生就业等，禁止将涉及工作秘密的内容（如教学大纲、青年教师培养过程信息、人事劳资信息等）及一些负面信息上网（栏目设置具体要求见附件2）。</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3．各二级网站使用学校校名、校徽及其他称谓、标志、图案、图片等作为版权信息时必须规范。网页中引用学校发布的信息时，必须与学校网站保持一致。</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4．在网上发布信息或内容，要做到更新及时、准确，杜绝网页内容长期不更新的现象。将空白的、点击不了的、长期不更新的子网页和栏目予以撤销。</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5．网站信息发布应规范准确，提高网站管理人员的业务水平，发布的信息字词正确、语句通顺、条理清楚，图片、文字大小规范统一，清晰美观。</w:t>
      </w:r>
    </w:p>
    <w:p>
      <w:pPr>
        <w:spacing w:line="360" w:lineRule="auto"/>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三、二级网站日常管理要求</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1．需要新开设二级网站的单位，需向学校信息化工作领导小组办公室（办公室设在网络信息中心）提交二级网站开通申请，同时将设计制作完成的网站上报审查，审查无误后，与学校签订二级网站安全管理责任书，方可开通网站。</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2、各二级网站确定一名网站管理人员，负责本单位网站技术维护和信息更新。网站管理人员每天应对本单位网站、其他网络服务内容进行检查。</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3、网站管理员要保</w:t>
      </w:r>
      <w:r>
        <w:rPr>
          <w:rFonts w:hint="eastAsia" w:ascii="仿宋_GB2312" w:eastAsia="仿宋_GB2312" w:hAnsiTheme="majorEastAsia"/>
          <w:sz w:val="30"/>
          <w:szCs w:val="30"/>
          <w:lang w:eastAsia="zh-CN"/>
        </w:rPr>
        <w:t>管</w:t>
      </w:r>
      <w:r>
        <w:rPr>
          <w:rFonts w:hint="eastAsia" w:ascii="仿宋_GB2312" w:eastAsia="仿宋_GB2312" w:hAnsiTheme="majorEastAsia"/>
          <w:sz w:val="30"/>
          <w:szCs w:val="30"/>
        </w:rPr>
        <w:t>好自己的账户和密码，确保密码不外泄，密码原则上每三个月更新一次，人员换岗后，要及时做好网站密码的交接工作。</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4、网站管理人员如在网站上发现不良信息，在条件许可的情况下首先采用断网处理的方法，防止不良信息的继续传播，然后立即保存该页面，同时检查日志的完整性，并及时报告宣传部和网络信息中心，提交保存的页面文件，由网络信息中心搜查其来源，查找原因，并提出处理意见。</w:t>
      </w:r>
    </w:p>
    <w:p>
      <w:pPr>
        <w:spacing w:line="360" w:lineRule="auto"/>
        <w:ind w:firstLine="600" w:firstLineChars="200"/>
        <w:rPr>
          <w:rFonts w:ascii="仿宋_GB2312" w:eastAsia="仿宋_GB2312" w:hAnsiTheme="majorEastAsia"/>
          <w:sz w:val="30"/>
          <w:szCs w:val="30"/>
        </w:rPr>
      </w:pPr>
      <w:r>
        <w:rPr>
          <w:rFonts w:hint="eastAsia" w:ascii="仿宋_GB2312" w:eastAsia="仿宋_GB2312" w:hAnsiTheme="majorEastAsia"/>
          <w:sz w:val="30"/>
          <w:szCs w:val="30"/>
        </w:rPr>
        <w:t>5．学校各单位对于二级网站的更新情况需要备案登记，每个学期末需要向宣传部提交半年度更新情况列表（一般要求学院每周更新至少2条以上，机关部门每周至少一条以上。）宣传部也将组织力量对全校所有二级网站和其他网络服务开展不定期的检查，对二级网站建设和管理进行实时监督和年度考评，对于优秀网站的管理单位和个人进行表彰奖励，对管理不善的二级网站或长期不更新内容的二级网站实施关停处理。</w:t>
      </w:r>
    </w:p>
    <w:p>
      <w:pPr>
        <w:spacing w:line="360" w:lineRule="auto"/>
        <w:ind w:firstLine="600" w:firstLineChars="200"/>
        <w:rPr>
          <w:rFonts w:ascii="仿宋_GB2312" w:eastAsia="仿宋_GB2312" w:hAnsiTheme="majorEastAsia"/>
          <w:sz w:val="30"/>
          <w:szCs w:val="30"/>
        </w:rPr>
      </w:pPr>
      <w:bookmarkStart w:id="0" w:name="_GoBack"/>
      <w:bookmarkEnd w:id="0"/>
    </w:p>
    <w:p>
      <w:pPr>
        <w:spacing w:line="360" w:lineRule="auto"/>
        <w:ind w:firstLine="600" w:firstLineChars="200"/>
        <w:rPr>
          <w:rFonts w:ascii="仿宋_GB2312" w:eastAsia="仿宋_GB2312" w:hAnsiTheme="majorEastAsia"/>
          <w:sz w:val="30"/>
          <w:szCs w:val="30"/>
        </w:rPr>
      </w:pPr>
    </w:p>
    <w:p>
      <w:pPr>
        <w:spacing w:line="360" w:lineRule="auto"/>
        <w:ind w:firstLine="600" w:firstLineChars="200"/>
        <w:jc w:val="right"/>
        <w:rPr>
          <w:rFonts w:ascii="仿宋_GB2312" w:eastAsia="仿宋_GB2312" w:hAnsiTheme="majorEastAsia"/>
          <w:sz w:val="30"/>
          <w:szCs w:val="30"/>
        </w:rPr>
      </w:pPr>
      <w:r>
        <w:rPr>
          <w:rFonts w:hint="eastAsia" w:ascii="仿宋_GB2312" w:eastAsia="仿宋_GB2312" w:hAnsiTheme="majorEastAsia"/>
          <w:sz w:val="30"/>
          <w:szCs w:val="30"/>
        </w:rPr>
        <w:t>党委宣传部</w:t>
      </w:r>
    </w:p>
    <w:p>
      <w:pPr>
        <w:spacing w:line="360" w:lineRule="auto"/>
        <w:ind w:firstLine="600" w:firstLineChars="200"/>
        <w:jc w:val="right"/>
        <w:rPr>
          <w:rFonts w:ascii="仿宋_GB2312" w:eastAsia="仿宋_GB2312" w:hAnsiTheme="majorEastAsia"/>
          <w:sz w:val="30"/>
          <w:szCs w:val="30"/>
        </w:rPr>
      </w:pPr>
      <w:r>
        <w:rPr>
          <w:rFonts w:hint="eastAsia" w:ascii="仿宋_GB2312" w:eastAsia="仿宋_GB2312" w:hAnsiTheme="majorEastAsia"/>
          <w:sz w:val="30"/>
          <w:szCs w:val="30"/>
        </w:rPr>
        <w:t>2017年4月18日</w:t>
      </w:r>
    </w:p>
    <w:p>
      <w:pPr>
        <w:spacing w:line="360" w:lineRule="auto"/>
        <w:ind w:firstLine="560" w:firstLineChars="200"/>
        <w:jc w:val="left"/>
        <w:rPr>
          <w:rFonts w:asciiTheme="majorEastAsia" w:hAnsiTheme="majorEastAsia" w:eastAsiaTheme="majorEastAsia"/>
          <w:sz w:val="28"/>
          <w:szCs w:val="28"/>
        </w:rPr>
      </w:pPr>
    </w:p>
    <w:p>
      <w:pPr>
        <w:spacing w:line="360" w:lineRule="auto"/>
        <w:ind w:firstLine="560" w:firstLineChars="200"/>
        <w:jc w:val="left"/>
        <w:rPr>
          <w:rFonts w:asciiTheme="majorEastAsia" w:hAnsiTheme="majorEastAsia" w:eastAsiaTheme="majorEastAsia"/>
          <w:sz w:val="28"/>
          <w:szCs w:val="28"/>
        </w:rPr>
      </w:pPr>
    </w:p>
    <w:p>
      <w:pPr>
        <w:spacing w:line="360" w:lineRule="auto"/>
        <w:ind w:firstLine="560" w:firstLineChars="200"/>
        <w:jc w:val="left"/>
        <w:rPr>
          <w:rFonts w:asciiTheme="majorEastAsia" w:hAnsiTheme="majorEastAsia" w:eastAsiaTheme="majorEastAsia"/>
          <w:sz w:val="28"/>
          <w:szCs w:val="28"/>
        </w:rPr>
      </w:pPr>
    </w:p>
    <w:p>
      <w:pPr>
        <w:spacing w:line="360" w:lineRule="auto"/>
        <w:ind w:firstLine="560" w:firstLineChars="200"/>
        <w:jc w:val="left"/>
        <w:rPr>
          <w:rFonts w:asciiTheme="majorEastAsia" w:hAnsiTheme="majorEastAsia" w:eastAsiaTheme="majorEastAsia"/>
          <w:sz w:val="28"/>
          <w:szCs w:val="28"/>
        </w:rPr>
      </w:pPr>
    </w:p>
    <w:p>
      <w:pPr>
        <w:spacing w:line="360" w:lineRule="auto"/>
        <w:ind w:firstLine="560" w:firstLineChars="200"/>
        <w:jc w:val="left"/>
        <w:rPr>
          <w:rFonts w:asciiTheme="majorEastAsia" w:hAnsiTheme="majorEastAsia" w:eastAsiaTheme="majorEastAsia"/>
          <w:sz w:val="28"/>
          <w:szCs w:val="28"/>
        </w:rPr>
      </w:pPr>
    </w:p>
    <w:p>
      <w:pPr>
        <w:spacing w:line="360" w:lineRule="auto"/>
        <w:ind w:firstLine="560" w:firstLineChars="200"/>
        <w:jc w:val="left"/>
        <w:rPr>
          <w:rFonts w:asciiTheme="majorEastAsia" w:hAnsiTheme="majorEastAsia" w:eastAsiaTheme="majorEastAsia"/>
          <w:sz w:val="28"/>
          <w:szCs w:val="28"/>
        </w:rPr>
      </w:pPr>
    </w:p>
    <w:p>
      <w:pPr>
        <w:spacing w:line="360" w:lineRule="auto"/>
        <w:ind w:firstLine="560" w:firstLineChars="200"/>
        <w:jc w:val="left"/>
        <w:rPr>
          <w:rFonts w:asciiTheme="majorEastAsia" w:hAnsiTheme="majorEastAsia" w:eastAsiaTheme="majorEastAsia"/>
          <w:sz w:val="28"/>
          <w:szCs w:val="28"/>
        </w:rPr>
      </w:pPr>
    </w:p>
    <w:p>
      <w:pPr>
        <w:spacing w:line="360" w:lineRule="auto"/>
        <w:ind w:firstLine="560" w:firstLineChars="200"/>
        <w:jc w:val="left"/>
        <w:rPr>
          <w:rFonts w:asciiTheme="majorEastAsia" w:hAnsiTheme="majorEastAsia" w:eastAsiaTheme="majorEastAsia"/>
          <w:sz w:val="28"/>
          <w:szCs w:val="28"/>
        </w:rPr>
      </w:pPr>
    </w:p>
    <w:p>
      <w:pPr>
        <w:spacing w:line="360" w:lineRule="auto"/>
        <w:ind w:firstLine="560" w:firstLineChars="200"/>
        <w:jc w:val="left"/>
        <w:rPr>
          <w:rFonts w:asciiTheme="majorEastAsia" w:hAnsiTheme="majorEastAsia" w:eastAsiaTheme="majorEastAsia"/>
          <w:sz w:val="28"/>
          <w:szCs w:val="28"/>
        </w:rPr>
      </w:pPr>
    </w:p>
    <w:p>
      <w:pPr>
        <w:rPr>
          <w:rFonts w:ascii="仿宋_GB2312" w:eastAsia="仿宋_GB2312" w:hAnsiTheme="majorEastAsia"/>
          <w:sz w:val="28"/>
          <w:szCs w:val="28"/>
        </w:rPr>
      </w:pPr>
      <w:r>
        <w:rPr>
          <w:rFonts w:hint="eastAsia" w:ascii="仿宋_GB2312" w:eastAsia="仿宋_GB2312" w:hAnsiTheme="majorEastAsia"/>
          <w:sz w:val="28"/>
          <w:szCs w:val="28"/>
        </w:rPr>
        <w:t>附件1：</w:t>
      </w: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职能部门网站栏目设置及要求参考表</w:t>
      </w:r>
    </w:p>
    <w:p>
      <w:pPr>
        <w:ind w:firstLine="411" w:firstLineChars="196"/>
        <w:rPr>
          <w:rFonts w:ascii="宋体" w:hAnsi="宋体" w:eastAsia="宋体" w:cs="Times New Roman"/>
        </w:rPr>
      </w:pPr>
    </w:p>
    <w:tbl>
      <w:tblPr>
        <w:tblStyle w:val="6"/>
        <w:tblW w:w="8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250"/>
        <w:gridCol w:w="1250"/>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641" w:hRule="atLeast"/>
          <w:jc w:val="center"/>
        </w:trPr>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一级指标</w:t>
            </w:r>
          </w:p>
        </w:tc>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二级指标</w:t>
            </w:r>
          </w:p>
        </w:tc>
        <w:tc>
          <w:tcPr>
            <w:tcW w:w="5866" w:type="dxa"/>
            <w:vAlign w:val="center"/>
          </w:tcPr>
          <w:p>
            <w:pPr>
              <w:jc w:val="center"/>
              <w:rPr>
                <w:rFonts w:ascii="宋体" w:hAnsi="宋体" w:eastAsia="宋体" w:cs="Times New Roman"/>
                <w:b/>
              </w:rPr>
            </w:pPr>
            <w:r>
              <w:rPr>
                <w:rFonts w:hint="eastAsia" w:cs="Times New Roman" w:asciiTheme="majorEastAsia" w:hAnsiTheme="majorEastAsia" w:eastAsiaTheme="majorEastAsia"/>
                <w:b/>
                <w:sz w:val="24"/>
                <w:szCs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641" w:hRule="atLeast"/>
          <w:jc w:val="center"/>
        </w:trPr>
        <w:tc>
          <w:tcPr>
            <w:tcW w:w="1250" w:type="dxa"/>
            <w:vMerge w:val="restart"/>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网站建设</w:t>
            </w:r>
          </w:p>
        </w:tc>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网站制作</w:t>
            </w:r>
          </w:p>
        </w:tc>
        <w:tc>
          <w:tcPr>
            <w:tcW w:w="5866" w:type="dxa"/>
            <w:vAlign w:val="center"/>
          </w:tcPr>
          <w:p>
            <w:pPr>
              <w:spacing w:line="360" w:lineRule="auto"/>
              <w:rPr>
                <w:rFonts w:ascii="宋体" w:hAnsi="宋体" w:eastAsia="宋体" w:cs="Times New Roman"/>
              </w:rPr>
            </w:pPr>
            <w:r>
              <w:rPr>
                <w:rFonts w:hint="eastAsia" w:ascii="宋体" w:hAnsi="宋体" w:eastAsia="宋体" w:cs="Times New Roman"/>
              </w:rPr>
              <w:t>特色鲜明，页面规范、美观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641" w:hRule="atLeast"/>
          <w:jc w:val="center"/>
        </w:trPr>
        <w:tc>
          <w:tcPr>
            <w:tcW w:w="1250" w:type="dxa"/>
            <w:vMerge w:val="continue"/>
            <w:vAlign w:val="center"/>
          </w:tcPr>
          <w:p>
            <w:pPr>
              <w:jc w:val="center"/>
              <w:rPr>
                <w:rFonts w:cs="Times New Roman" w:asciiTheme="majorEastAsia" w:hAnsiTheme="majorEastAsia" w:eastAsiaTheme="majorEastAsia"/>
                <w:b/>
                <w:sz w:val="24"/>
                <w:szCs w:val="24"/>
              </w:rPr>
            </w:pPr>
          </w:p>
        </w:tc>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栏目建设</w:t>
            </w:r>
          </w:p>
        </w:tc>
        <w:tc>
          <w:tcPr>
            <w:tcW w:w="5866" w:type="dxa"/>
            <w:vAlign w:val="center"/>
          </w:tcPr>
          <w:p>
            <w:pPr>
              <w:spacing w:line="360" w:lineRule="auto"/>
              <w:rPr>
                <w:rFonts w:ascii="宋体" w:hAnsi="宋体" w:eastAsia="宋体" w:cs="Times New Roman"/>
              </w:rPr>
            </w:pPr>
            <w:r>
              <w:rPr>
                <w:rFonts w:hint="eastAsia" w:ascii="宋体" w:hAnsi="宋体" w:eastAsia="宋体" w:cs="Times New Roman"/>
              </w:rPr>
              <w:t>职能处室子站栏目内容与职能业务的结合程度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641" w:hRule="atLeast"/>
          <w:jc w:val="center"/>
        </w:trPr>
        <w:tc>
          <w:tcPr>
            <w:tcW w:w="1250" w:type="dxa"/>
            <w:vMerge w:val="continue"/>
            <w:vAlign w:val="center"/>
          </w:tcPr>
          <w:p>
            <w:pPr>
              <w:jc w:val="center"/>
              <w:rPr>
                <w:rFonts w:cs="Times New Roman" w:asciiTheme="majorEastAsia" w:hAnsiTheme="majorEastAsia" w:eastAsiaTheme="majorEastAsia"/>
                <w:b/>
                <w:sz w:val="24"/>
                <w:szCs w:val="24"/>
              </w:rPr>
            </w:pPr>
          </w:p>
        </w:tc>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更新维护</w:t>
            </w:r>
          </w:p>
        </w:tc>
        <w:tc>
          <w:tcPr>
            <w:tcW w:w="5866" w:type="dxa"/>
            <w:vAlign w:val="center"/>
          </w:tcPr>
          <w:p>
            <w:pPr>
              <w:spacing w:line="360" w:lineRule="auto"/>
              <w:rPr>
                <w:rFonts w:ascii="宋体" w:hAnsi="宋体" w:eastAsia="宋体" w:cs="Times New Roman"/>
              </w:rPr>
            </w:pPr>
            <w:r>
              <w:rPr>
                <w:rFonts w:hint="eastAsia" w:ascii="宋体" w:hAnsi="宋体" w:eastAsia="宋体" w:cs="Times New Roman"/>
              </w:rPr>
              <w:t>栏目内容更新的及时，没有空栏目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641" w:hRule="atLeast"/>
          <w:jc w:val="center"/>
        </w:trPr>
        <w:tc>
          <w:tcPr>
            <w:tcW w:w="1250" w:type="dxa"/>
            <w:vMerge w:val="restart"/>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信息公开</w:t>
            </w:r>
          </w:p>
        </w:tc>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部门简介</w:t>
            </w:r>
          </w:p>
        </w:tc>
        <w:tc>
          <w:tcPr>
            <w:tcW w:w="5866" w:type="dxa"/>
            <w:vAlign w:val="center"/>
          </w:tcPr>
          <w:p>
            <w:pPr>
              <w:spacing w:line="360" w:lineRule="auto"/>
              <w:rPr>
                <w:rFonts w:ascii="宋体" w:hAnsi="宋体" w:eastAsia="宋体" w:cs="Times New Roman"/>
              </w:rPr>
            </w:pPr>
            <w:r>
              <w:rPr>
                <w:rFonts w:hint="eastAsia" w:ascii="宋体" w:hAnsi="宋体" w:eastAsia="宋体" w:cs="Times New Roman"/>
              </w:rPr>
              <w:t>部门简介、机构设置、部门负责人、工作职能等信息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641" w:hRule="atLeast"/>
          <w:jc w:val="center"/>
        </w:trPr>
        <w:tc>
          <w:tcPr>
            <w:tcW w:w="1250" w:type="dxa"/>
            <w:vMerge w:val="continue"/>
            <w:vAlign w:val="center"/>
          </w:tcPr>
          <w:p>
            <w:pPr>
              <w:jc w:val="center"/>
              <w:rPr>
                <w:rFonts w:cs="Times New Roman" w:asciiTheme="majorEastAsia" w:hAnsiTheme="majorEastAsia" w:eastAsiaTheme="majorEastAsia"/>
                <w:b/>
                <w:sz w:val="24"/>
                <w:szCs w:val="24"/>
              </w:rPr>
            </w:pPr>
          </w:p>
        </w:tc>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动态信息</w:t>
            </w:r>
          </w:p>
        </w:tc>
        <w:tc>
          <w:tcPr>
            <w:tcW w:w="5866" w:type="dxa"/>
            <w:vAlign w:val="center"/>
          </w:tcPr>
          <w:p>
            <w:pPr>
              <w:spacing w:line="360" w:lineRule="auto"/>
              <w:rPr>
                <w:rFonts w:ascii="宋体" w:hAnsi="宋体" w:eastAsia="宋体" w:cs="Times New Roman"/>
              </w:rPr>
            </w:pPr>
            <w:r>
              <w:rPr>
                <w:rFonts w:hint="eastAsia" w:ascii="宋体" w:hAnsi="宋体" w:eastAsia="宋体" w:cs="Times New Roman"/>
              </w:rPr>
              <w:t>部门通知公告、部门动态等发布情况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641" w:hRule="atLeast"/>
          <w:jc w:val="center"/>
        </w:trPr>
        <w:tc>
          <w:tcPr>
            <w:tcW w:w="1250" w:type="dxa"/>
            <w:vMerge w:val="continue"/>
            <w:vAlign w:val="center"/>
          </w:tcPr>
          <w:p>
            <w:pPr>
              <w:jc w:val="center"/>
              <w:rPr>
                <w:rFonts w:cs="Times New Roman" w:asciiTheme="majorEastAsia" w:hAnsiTheme="majorEastAsia" w:eastAsiaTheme="majorEastAsia"/>
                <w:b/>
                <w:sz w:val="24"/>
                <w:szCs w:val="24"/>
              </w:rPr>
            </w:pPr>
          </w:p>
        </w:tc>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政务公开</w:t>
            </w:r>
          </w:p>
        </w:tc>
        <w:tc>
          <w:tcPr>
            <w:tcW w:w="5866" w:type="dxa"/>
            <w:vAlign w:val="center"/>
          </w:tcPr>
          <w:p>
            <w:pPr>
              <w:spacing w:line="360" w:lineRule="auto"/>
              <w:rPr>
                <w:rFonts w:ascii="宋体" w:hAnsi="宋体" w:eastAsia="宋体" w:cs="Times New Roman"/>
              </w:rPr>
            </w:pPr>
            <w:r>
              <w:rPr>
                <w:rFonts w:hint="eastAsia" w:ascii="宋体" w:hAnsi="宋体" w:eastAsia="宋体" w:cs="Times New Roman"/>
              </w:rPr>
              <w:t>计划总结、文件查询等及其他信息公开情况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641" w:hRule="atLeast"/>
          <w:jc w:val="center"/>
        </w:trPr>
        <w:tc>
          <w:tcPr>
            <w:tcW w:w="1250" w:type="dxa"/>
            <w:vMerge w:val="restart"/>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办事能力</w:t>
            </w:r>
          </w:p>
        </w:tc>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办事指南</w:t>
            </w:r>
          </w:p>
        </w:tc>
        <w:tc>
          <w:tcPr>
            <w:tcW w:w="5866" w:type="dxa"/>
            <w:vAlign w:val="center"/>
          </w:tcPr>
          <w:p>
            <w:pPr>
              <w:spacing w:line="360" w:lineRule="auto"/>
              <w:rPr>
                <w:rFonts w:ascii="宋体" w:hAnsi="宋体" w:eastAsia="宋体" w:cs="Times New Roman"/>
              </w:rPr>
            </w:pPr>
            <w:r>
              <w:rPr>
                <w:rFonts w:hint="eastAsia" w:ascii="宋体" w:hAnsi="宋体" w:eastAsia="宋体" w:cs="Times New Roman"/>
              </w:rPr>
              <w:t>与本部门相关的各类业务指南及工作流程发布情况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641" w:hRule="atLeast"/>
          <w:jc w:val="center"/>
        </w:trPr>
        <w:tc>
          <w:tcPr>
            <w:tcW w:w="1250" w:type="dxa"/>
            <w:vMerge w:val="continue"/>
            <w:vAlign w:val="center"/>
          </w:tcPr>
          <w:p>
            <w:pPr>
              <w:jc w:val="center"/>
              <w:rPr>
                <w:rFonts w:cs="Times New Roman" w:asciiTheme="majorEastAsia" w:hAnsiTheme="majorEastAsia" w:eastAsiaTheme="majorEastAsia"/>
                <w:b/>
                <w:sz w:val="24"/>
                <w:szCs w:val="24"/>
              </w:rPr>
            </w:pPr>
          </w:p>
        </w:tc>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在线办事</w:t>
            </w:r>
          </w:p>
        </w:tc>
        <w:tc>
          <w:tcPr>
            <w:tcW w:w="5866" w:type="dxa"/>
            <w:vAlign w:val="center"/>
          </w:tcPr>
          <w:p>
            <w:pPr>
              <w:spacing w:line="360" w:lineRule="auto"/>
              <w:rPr>
                <w:rFonts w:ascii="宋体" w:hAnsi="宋体" w:eastAsia="宋体" w:cs="Times New Roman"/>
              </w:rPr>
            </w:pPr>
            <w:r>
              <w:rPr>
                <w:rFonts w:hint="eastAsia" w:ascii="宋体" w:hAnsi="宋体" w:eastAsia="宋体" w:cs="Times New Roman"/>
              </w:rPr>
              <w:t>提供各类表格等下载，网络服务指引情况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802" w:hRule="atLeast"/>
          <w:jc w:val="center"/>
        </w:trPr>
        <w:tc>
          <w:tcPr>
            <w:tcW w:w="1250" w:type="dxa"/>
            <w:vMerge w:val="continue"/>
            <w:vAlign w:val="center"/>
          </w:tcPr>
          <w:p>
            <w:pPr>
              <w:jc w:val="center"/>
              <w:rPr>
                <w:rFonts w:cs="Times New Roman" w:asciiTheme="majorEastAsia" w:hAnsiTheme="majorEastAsia" w:eastAsiaTheme="majorEastAsia"/>
                <w:b/>
                <w:sz w:val="24"/>
                <w:szCs w:val="24"/>
              </w:rPr>
            </w:pPr>
          </w:p>
        </w:tc>
        <w:tc>
          <w:tcPr>
            <w:tcW w:w="1250"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互动应用</w:t>
            </w:r>
          </w:p>
        </w:tc>
        <w:tc>
          <w:tcPr>
            <w:tcW w:w="5866" w:type="dxa"/>
            <w:vAlign w:val="center"/>
          </w:tcPr>
          <w:p>
            <w:pPr>
              <w:spacing w:line="360" w:lineRule="auto"/>
              <w:rPr>
                <w:rFonts w:ascii="宋体" w:hAnsi="宋体" w:eastAsia="宋体" w:cs="Times New Roman"/>
              </w:rPr>
            </w:pPr>
            <w:r>
              <w:rPr>
                <w:rFonts w:hint="eastAsia" w:ascii="宋体" w:hAnsi="宋体" w:eastAsia="宋体" w:cs="Times New Roman"/>
              </w:rPr>
              <w:t>利用领导信箱、留言板、微博等新媒体手段与受众互动沟通解决实际问题情况</w:t>
            </w:r>
          </w:p>
        </w:tc>
      </w:tr>
    </w:tbl>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jc w:val="center"/>
        <w:rPr>
          <w:rFonts w:asciiTheme="majorEastAsia" w:hAnsiTheme="majorEastAsia" w:eastAsiaTheme="majorEastAsia"/>
          <w:b/>
          <w:sz w:val="28"/>
          <w:szCs w:val="28"/>
        </w:rPr>
      </w:pPr>
    </w:p>
    <w:p>
      <w:pPr>
        <w:rPr>
          <w:rFonts w:asciiTheme="majorEastAsia" w:hAnsiTheme="majorEastAsia" w:eastAsiaTheme="majorEastAsia"/>
          <w:sz w:val="28"/>
          <w:szCs w:val="28"/>
        </w:rPr>
      </w:pPr>
      <w:r>
        <w:rPr>
          <w:rFonts w:hint="eastAsia" w:asciiTheme="majorEastAsia" w:hAnsiTheme="majorEastAsia" w:eastAsiaTheme="majorEastAsia"/>
          <w:sz w:val="28"/>
          <w:szCs w:val="28"/>
        </w:rPr>
        <w:t>附件2</w:t>
      </w:r>
    </w:p>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院系网站栏目设置及要求参考表</w:t>
      </w:r>
    </w:p>
    <w:p>
      <w:pPr>
        <w:ind w:firstLine="411" w:firstLineChars="196"/>
        <w:rPr>
          <w:rFonts w:asciiTheme="majorEastAsia" w:hAnsiTheme="majorEastAsia" w:eastAsiaTheme="majorEastAsia"/>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46"/>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Align w:val="center"/>
          </w:tcPr>
          <w:p>
            <w:pPr>
              <w:spacing w:line="360" w:lineRule="auto"/>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一级指标</w:t>
            </w:r>
          </w:p>
        </w:tc>
        <w:tc>
          <w:tcPr>
            <w:tcW w:w="1446" w:type="dxa"/>
            <w:vAlign w:val="center"/>
          </w:tcPr>
          <w:p>
            <w:pPr>
              <w:spacing w:line="360" w:lineRule="auto"/>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二级指标</w:t>
            </w:r>
          </w:p>
        </w:tc>
        <w:tc>
          <w:tcPr>
            <w:tcW w:w="5836" w:type="dxa"/>
            <w:vAlign w:val="center"/>
          </w:tcPr>
          <w:p>
            <w:pPr>
              <w:spacing w:line="360" w:lineRule="auto"/>
              <w:jc w:val="center"/>
              <w:rPr>
                <w:rFonts w:asciiTheme="majorEastAsia" w:hAnsiTheme="majorEastAsia" w:eastAsiaTheme="majorEastAsia"/>
                <w:b/>
              </w:rPr>
            </w:pPr>
            <w:r>
              <w:rPr>
                <w:rFonts w:hint="eastAsia" w:asciiTheme="majorEastAsia" w:hAnsiTheme="majorEastAsia" w:eastAsiaTheme="majorEastAsia"/>
                <w:b/>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restart"/>
            <w:vAlign w:val="center"/>
          </w:tcPr>
          <w:p>
            <w:pPr>
              <w:spacing w:line="360" w:lineRule="auto"/>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网站建设</w:t>
            </w: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网站制作</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特色鲜明、页面规范、美观，栏目设置合理，内容更新及时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spacing w:line="360" w:lineRule="auto"/>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子站建设</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所属学院相关实验室、研究所建立子站并正常运行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spacing w:line="360" w:lineRule="auto"/>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专业科普</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提供与各学院专业相关的专业知识科普园地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spacing w:line="360" w:lineRule="auto"/>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新媒体应用</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新媒体技术在网站建设中的应用（如视频简介、官方微博互动等）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restart"/>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学院概况</w:t>
            </w: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学院介绍</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学院概况、历史延革、学院荣誉等信息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学院领导</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学院领导班子成员的照片、分管工作等信息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机构设置</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学院主要机构（含党政机构，及系、所、实验室等机构）设置情况及简介、联系方式等信息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师资队伍</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学院师资队伍概况；教授、讲师等基本信息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restart"/>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信息公开</w:t>
            </w: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通知公告</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学校、学院相关工作的通知通告信息，以及工作要点、工作总结等信息，并及时更新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新闻动态</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学院主要工作动态、新闻报道等信息，并及时更新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tcBorders>
              <w:bottom w:val="single" w:color="auto" w:sz="4" w:space="0"/>
            </w:tcBorders>
            <w:vAlign w:val="center"/>
          </w:tcPr>
          <w:p>
            <w:pPr>
              <w:jc w:val="center"/>
              <w:rPr>
                <w:rFonts w:cs="Times New Roman" w:asciiTheme="majorEastAsia" w:hAnsiTheme="majorEastAsia" w:eastAsiaTheme="majorEastAsia"/>
                <w:b/>
                <w:sz w:val="24"/>
                <w:szCs w:val="24"/>
              </w:rPr>
            </w:pPr>
          </w:p>
        </w:tc>
        <w:tc>
          <w:tcPr>
            <w:tcW w:w="1446" w:type="dxa"/>
            <w:tcBorders>
              <w:bottom w:val="single" w:color="auto" w:sz="4" w:space="0"/>
            </w:tcBorders>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院务公开</w:t>
            </w:r>
          </w:p>
        </w:tc>
        <w:tc>
          <w:tcPr>
            <w:tcW w:w="5836" w:type="dxa"/>
            <w:tcBorders>
              <w:bottom w:val="single" w:color="auto" w:sz="4" w:space="0"/>
            </w:tcBorders>
            <w:vAlign w:val="center"/>
          </w:tcPr>
          <w:p>
            <w:pPr>
              <w:rPr>
                <w:rFonts w:asciiTheme="majorEastAsia" w:hAnsiTheme="majorEastAsia" w:eastAsiaTheme="majorEastAsia"/>
              </w:rPr>
            </w:pPr>
            <w:r>
              <w:rPr>
                <w:rFonts w:hint="eastAsia" w:asciiTheme="majorEastAsia" w:hAnsiTheme="majorEastAsia" w:eastAsiaTheme="majorEastAsia"/>
              </w:rPr>
              <w:t>工作职责、文件资料、规章制度以及政策需公开的内容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restart"/>
            <w:tcBorders>
              <w:top w:val="single" w:color="auto" w:sz="4" w:space="0"/>
            </w:tcBorders>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教务教学</w:t>
            </w:r>
          </w:p>
        </w:tc>
        <w:tc>
          <w:tcPr>
            <w:tcW w:w="1446" w:type="dxa"/>
            <w:tcBorders>
              <w:top w:val="single" w:color="auto" w:sz="4" w:space="0"/>
            </w:tcBorders>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学科、专业</w:t>
            </w:r>
          </w:p>
        </w:tc>
        <w:tc>
          <w:tcPr>
            <w:tcW w:w="5836" w:type="dxa"/>
            <w:tcBorders>
              <w:top w:val="single" w:color="auto" w:sz="4" w:space="0"/>
            </w:tcBorders>
            <w:vAlign w:val="center"/>
          </w:tcPr>
          <w:p>
            <w:pPr>
              <w:rPr>
                <w:rFonts w:asciiTheme="majorEastAsia" w:hAnsiTheme="majorEastAsia" w:eastAsiaTheme="majorEastAsia"/>
              </w:rPr>
            </w:pPr>
            <w:r>
              <w:rPr>
                <w:rFonts w:hint="eastAsia" w:asciiTheme="majorEastAsia" w:hAnsiTheme="majorEastAsia" w:eastAsiaTheme="majorEastAsia"/>
              </w:rPr>
              <w:t>学院学科和本科、硕士各个专业的相关信息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培养方案</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学院本科、硕士各个专业的培养计划信息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课程设置</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学院本科、硕士各个专业的课程设置信息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教学资源</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学院教务教学有关信息、精品课程、教学实验室等信息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tcBorders>
              <w:bottom w:val="single" w:color="auto" w:sz="4" w:space="0"/>
            </w:tcBorders>
            <w:vAlign w:val="center"/>
          </w:tcPr>
          <w:p>
            <w:pPr>
              <w:jc w:val="center"/>
              <w:rPr>
                <w:rFonts w:cs="Times New Roman" w:asciiTheme="majorEastAsia" w:hAnsiTheme="majorEastAsia" w:eastAsiaTheme="majorEastAsia"/>
                <w:b/>
                <w:sz w:val="24"/>
                <w:szCs w:val="24"/>
              </w:rPr>
            </w:pPr>
          </w:p>
        </w:tc>
        <w:tc>
          <w:tcPr>
            <w:tcW w:w="1446" w:type="dxa"/>
            <w:tcBorders>
              <w:bottom w:val="single" w:color="auto" w:sz="4" w:space="0"/>
            </w:tcBorders>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教学服务</w:t>
            </w:r>
          </w:p>
        </w:tc>
        <w:tc>
          <w:tcPr>
            <w:tcW w:w="5836" w:type="dxa"/>
            <w:tcBorders>
              <w:bottom w:val="single" w:color="auto" w:sz="4" w:space="0"/>
            </w:tcBorders>
            <w:vAlign w:val="center"/>
          </w:tcPr>
          <w:p>
            <w:pPr>
              <w:rPr>
                <w:rFonts w:asciiTheme="majorEastAsia" w:hAnsiTheme="majorEastAsia" w:eastAsiaTheme="majorEastAsia"/>
              </w:rPr>
            </w:pPr>
            <w:r>
              <w:rPr>
                <w:rFonts w:hint="eastAsia" w:asciiTheme="majorEastAsia" w:hAnsiTheme="majorEastAsia" w:eastAsiaTheme="majorEastAsia"/>
              </w:rPr>
              <w:t>各种教学服务或服务接入（选课、实验，教室、课表、成绩等），学生教学环节的各类办事指引、表格下载等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restart"/>
            <w:tcBorders>
              <w:top w:val="single" w:color="auto" w:sz="4" w:space="0"/>
            </w:tcBorders>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科学研究</w:t>
            </w:r>
          </w:p>
        </w:tc>
        <w:tc>
          <w:tcPr>
            <w:tcW w:w="1446" w:type="dxa"/>
            <w:tcBorders>
              <w:top w:val="single" w:color="auto" w:sz="4" w:space="0"/>
            </w:tcBorders>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科研团队</w:t>
            </w:r>
          </w:p>
        </w:tc>
        <w:tc>
          <w:tcPr>
            <w:tcW w:w="5836" w:type="dxa"/>
            <w:tcBorders>
              <w:top w:val="single" w:color="auto" w:sz="4" w:space="0"/>
            </w:tcBorders>
            <w:vAlign w:val="center"/>
          </w:tcPr>
          <w:p>
            <w:pPr>
              <w:rPr>
                <w:rFonts w:asciiTheme="majorEastAsia" w:hAnsiTheme="majorEastAsia" w:eastAsiaTheme="majorEastAsia"/>
              </w:rPr>
            </w:pPr>
            <w:r>
              <w:rPr>
                <w:rFonts w:hint="eastAsia" w:asciiTheme="majorEastAsia" w:hAnsiTheme="majorEastAsia" w:eastAsiaTheme="majorEastAsia"/>
              </w:rPr>
              <w:t>学院科研团队信息（团队实力、研究方向、主要成果等）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科研设施</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学院重点科研实验室等信息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科研成果</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学院各类科研项目成果介绍，并及时更新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学术活动</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学院学术报告、学术交流动态信息，并及时更新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国际交流</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学院科学研究、国际国内会议等各领域交流合作信息，并及时更新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restart"/>
            <w:tcBorders>
              <w:top w:val="single" w:color="auto" w:sz="4" w:space="0"/>
            </w:tcBorders>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学生工作</w:t>
            </w:r>
          </w:p>
          <w:p>
            <w:pPr>
              <w:jc w:val="center"/>
              <w:rPr>
                <w:rFonts w:cs="Times New Roman" w:asciiTheme="majorEastAsia" w:hAnsiTheme="majorEastAsia" w:eastAsiaTheme="majorEastAsia"/>
                <w:b/>
                <w:sz w:val="24"/>
                <w:szCs w:val="24"/>
              </w:rPr>
            </w:pPr>
          </w:p>
        </w:tc>
        <w:tc>
          <w:tcPr>
            <w:tcW w:w="1446" w:type="dxa"/>
            <w:tcBorders>
              <w:top w:val="single" w:color="auto" w:sz="4" w:space="0"/>
            </w:tcBorders>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学工概况</w:t>
            </w:r>
          </w:p>
        </w:tc>
        <w:tc>
          <w:tcPr>
            <w:tcW w:w="5836" w:type="dxa"/>
            <w:tcBorders>
              <w:top w:val="single" w:color="auto" w:sz="4" w:space="0"/>
            </w:tcBorders>
            <w:vAlign w:val="center"/>
          </w:tcPr>
          <w:p>
            <w:pPr>
              <w:rPr>
                <w:rFonts w:asciiTheme="majorEastAsia" w:hAnsiTheme="majorEastAsia" w:eastAsiaTheme="majorEastAsia"/>
              </w:rPr>
            </w:pPr>
            <w:r>
              <w:rPr>
                <w:rFonts w:hint="eastAsia" w:asciiTheme="majorEastAsia" w:hAnsiTheme="majorEastAsia" w:eastAsiaTheme="majorEastAsia"/>
              </w:rPr>
              <w:t>学院学生工作总体情况，以及辅导员工作等信息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奖助贷勤</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学院奖学金、助学贷款、勤工俭学等信息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学生社团</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学院学生组织、学生活动特别是品牌活动等信息，并及时更新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0" w:type="dxa"/>
            <w:vMerge w:val="continue"/>
            <w:vAlign w:val="center"/>
          </w:tcPr>
          <w:p>
            <w:pPr>
              <w:jc w:val="center"/>
              <w:rPr>
                <w:rFonts w:cs="Times New Roman" w:asciiTheme="majorEastAsia" w:hAnsiTheme="majorEastAsia" w:eastAsiaTheme="majorEastAsia"/>
                <w:b/>
                <w:sz w:val="24"/>
                <w:szCs w:val="24"/>
              </w:rPr>
            </w:pPr>
          </w:p>
        </w:tc>
        <w:tc>
          <w:tcPr>
            <w:tcW w:w="1446" w:type="dxa"/>
            <w:vAlign w:val="center"/>
          </w:tcPr>
          <w:p>
            <w:pPr>
              <w:jc w:val="center"/>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就业指导</w:t>
            </w:r>
          </w:p>
        </w:tc>
        <w:tc>
          <w:tcPr>
            <w:tcW w:w="5836" w:type="dxa"/>
            <w:vAlign w:val="center"/>
          </w:tcPr>
          <w:p>
            <w:pPr>
              <w:rPr>
                <w:rFonts w:asciiTheme="majorEastAsia" w:hAnsiTheme="majorEastAsia" w:eastAsiaTheme="majorEastAsia"/>
              </w:rPr>
            </w:pPr>
            <w:r>
              <w:rPr>
                <w:rFonts w:hint="eastAsia" w:asciiTheme="majorEastAsia" w:hAnsiTheme="majorEastAsia" w:eastAsiaTheme="majorEastAsia"/>
              </w:rPr>
              <w:t>学院各专业相关就业指南、往年就业数据、研究报表、就业推荐表格下载等相关信息；提供各专业相关就业招聘信息</w:t>
            </w:r>
          </w:p>
        </w:tc>
      </w:tr>
    </w:tbl>
    <w:p>
      <w:pPr>
        <w:jc w:val="center"/>
        <w:rPr>
          <w:rFonts w:asciiTheme="majorEastAsia" w:hAnsiTheme="majorEastAsia" w:eastAsia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8E"/>
    <w:rsid w:val="00056E87"/>
    <w:rsid w:val="00072432"/>
    <w:rsid w:val="001314DD"/>
    <w:rsid w:val="00195074"/>
    <w:rsid w:val="00211C82"/>
    <w:rsid w:val="00236EF9"/>
    <w:rsid w:val="002667E5"/>
    <w:rsid w:val="00281E34"/>
    <w:rsid w:val="002A1F9C"/>
    <w:rsid w:val="00325566"/>
    <w:rsid w:val="003C73B4"/>
    <w:rsid w:val="004414A0"/>
    <w:rsid w:val="004975C6"/>
    <w:rsid w:val="004A72F4"/>
    <w:rsid w:val="005111AC"/>
    <w:rsid w:val="00525B38"/>
    <w:rsid w:val="0055391A"/>
    <w:rsid w:val="005E2E1F"/>
    <w:rsid w:val="00625031"/>
    <w:rsid w:val="006C5C5A"/>
    <w:rsid w:val="006C7637"/>
    <w:rsid w:val="006D448E"/>
    <w:rsid w:val="007D3658"/>
    <w:rsid w:val="00814E65"/>
    <w:rsid w:val="0081543E"/>
    <w:rsid w:val="00831F39"/>
    <w:rsid w:val="00A36DE7"/>
    <w:rsid w:val="00A649B5"/>
    <w:rsid w:val="00A77919"/>
    <w:rsid w:val="00AC2296"/>
    <w:rsid w:val="00AC747A"/>
    <w:rsid w:val="00B26990"/>
    <w:rsid w:val="00B91A46"/>
    <w:rsid w:val="00C82BBC"/>
    <w:rsid w:val="00C93912"/>
    <w:rsid w:val="00CD7832"/>
    <w:rsid w:val="00D22CED"/>
    <w:rsid w:val="00D36839"/>
    <w:rsid w:val="00D4352E"/>
    <w:rsid w:val="00D46F92"/>
    <w:rsid w:val="00DA25DF"/>
    <w:rsid w:val="00F250F6"/>
    <w:rsid w:val="0C0657C3"/>
    <w:rsid w:val="0F3149AF"/>
    <w:rsid w:val="607C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5"/>
    <w:link w:val="2"/>
    <w:semiHidden/>
    <w:qFormat/>
    <w:uiPriority w:val="99"/>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446</Words>
  <Characters>2543</Characters>
  <Lines>21</Lines>
  <Paragraphs>5</Paragraphs>
  <TotalTime>585</TotalTime>
  <ScaleCrop>false</ScaleCrop>
  <LinksUpToDate>false</LinksUpToDate>
  <CharactersWithSpaces>2984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2017-03-31T01:53:00Z</dcterms:created>
  <dc:creator>微软用户</dc:creator>
  <cp:lastModifiedBy>李艳红</cp:lastModifiedBy>
  <dcterms:modified xsi:type="dcterms:W3CDTF">2018-06-26T10:36:19Z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