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hint="eastAsia" w:ascii="Times New Roman" w:hAnsi="Times New Roman"/>
          <w:b/>
          <w:sz w:val="28"/>
          <w:szCs w:val="28"/>
        </w:rPr>
        <w:t>附件 2：报名须知</w:t>
      </w:r>
    </w:p>
    <w:bookmarkEnd w:id="0"/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1、团队自由组合，每个小组6-10人；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2、每个团队须有一名指导老师；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3、校内选拔赛报名地点为各高校组委会；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4、报名形式：现场报名</w:t>
      </w:r>
      <w:r>
        <w:rPr>
          <w:rFonts w:ascii="Times New Roman" w:hAnsi="Times New Roman"/>
          <w:sz w:val="28"/>
          <w:szCs w:val="28"/>
        </w:rPr>
        <w:t>与邮箱报名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“察尔汗杯”第九届湖南省大学生营销策划大赛报名表</w:t>
      </w:r>
    </w:p>
    <w:p>
      <w:pPr>
        <w:ind w:firstLine="138" w:firstLineChars="4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学校名称：</w:t>
      </w:r>
    </w:p>
    <w:tbl>
      <w:tblPr>
        <w:tblStyle w:val="3"/>
        <w:tblW w:w="8312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134"/>
        <w:gridCol w:w="1134"/>
        <w:gridCol w:w="2126"/>
        <w:gridCol w:w="23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团队名称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联系邮箱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成员名单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指导老师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312" w:type="dxa"/>
            <w:gridSpan w:val="5"/>
          </w:tcPr>
          <w:p>
            <w:pPr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要求：</w:t>
            </w:r>
          </w:p>
          <w:p>
            <w:pPr>
              <w:pStyle w:val="4"/>
              <w:numPr>
                <w:ilvl w:val="0"/>
                <w:numId w:val="1"/>
              </w:numPr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团队参赛</w:t>
            </w:r>
          </w:p>
          <w:p>
            <w:pPr>
              <w:pStyle w:val="4"/>
              <w:numPr>
                <w:ilvl w:val="0"/>
                <w:numId w:val="1"/>
              </w:numPr>
              <w:ind w:firstLine="0" w:firstLineChars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鼓励跨专业组队，鼓励创意天才、演讲天才、文案天才、互联网推广天才组合参赛。</w:t>
            </w:r>
          </w:p>
          <w:p>
            <w:pPr>
              <w:pStyle w:val="4"/>
              <w:numPr>
                <w:ilvl w:val="0"/>
                <w:numId w:val="1"/>
              </w:numPr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参赛人员必须保证填写内容真实有效</w:t>
            </w:r>
          </w:p>
        </w:tc>
      </w:tr>
    </w:tbl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附件3：校内决赛评分细则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评分内容分为现场部分和书面部分，书面部分占30分，实施效果展示占30分，现场部分占40分，合计100分。</w:t>
      </w:r>
    </w:p>
    <w:p>
      <w:pPr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1.决赛作品奖项评分标准：</w:t>
      </w:r>
    </w:p>
    <w:p>
      <w:pPr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（1）书面部分（30分）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书面部分包括策划内容、策划逻辑、作品包装与整体印象四个部分，各部分分值所占比例如下：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a.策划内容（5分）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b.PPT部分（15分）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包括创新性、、完整性、可操作性三个部分，各部分分值所占比例如下：创新性（5分）、完整性（5分）、可操作性（5分）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c.策划逻辑（5分）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d.作品包装、整体印象（5分）</w:t>
      </w:r>
    </w:p>
    <w:p>
      <w:pPr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（2）实施效果（30分）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实施效果包括用户关注度、销售效果、用户评价四个部分，各部分分值所占比例如下：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a.用户关注度（5分）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b.网络链接（5分）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c.销售效果（15分）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d.用户评价（5分）</w:t>
      </w:r>
    </w:p>
    <w:p>
      <w:pPr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（3）现场部分（40分）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评分由仪表与精神面貌、课件的演示与解说、团队协作和评委提问四个部分组成，各部分分值所占比例如下：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仪表与精神面貌（5分）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要求:服装整齐统一；有特色、创意，能够体现主题；全队精神饱满、仪表端庄得体。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课件的演示与解说（15分）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要求:运用电脑多媒体对有关企业的内容作演示并作相关的解说；演示者语言运用准确、连接自然有序、表达清晰、重点突出；复赛的实施效果展示完整；能按时间规定完成各环节。（注：陈述时间不超过6分钟，超时每分钟扣一分，现场评委选手答辩不受此规定限制，时间控制在6分钟以内。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团队协作（10分）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要求:整个演讲、分析过程全队员都参与其中，分工合理且能力互补，体现默契，从团队成员的表达中体现出配合与信心。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评委及现场观众提问（10分）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要求:团队成员能够准确把握评委及现场观众的意思，回答时语言简洁清楚，逻辑性强。时间控制在6分钟以内。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4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2018-03-20T12:35:45Z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