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400" w:lineRule="exact"/>
        <w:jc w:val="center"/>
        <w:rPr>
          <w:rFonts w:ascii="宋体" w:hAnsi="宋体"/>
          <w:b/>
          <w:sz w:val="84"/>
          <w:szCs w:val="84"/>
        </w:rPr>
      </w:pPr>
    </w:p>
    <w:p>
      <w:pPr>
        <w:spacing w:line="400" w:lineRule="exact"/>
        <w:jc w:val="center"/>
        <w:rPr>
          <w:rFonts w:ascii="宋体" w:hAnsi="宋体"/>
          <w:b/>
          <w:sz w:val="84"/>
          <w:szCs w:val="84"/>
        </w:rPr>
      </w:pPr>
    </w:p>
    <w:p>
      <w:pPr>
        <w:spacing w:beforeLines="100" w:line="900" w:lineRule="exact"/>
        <w:jc w:val="center"/>
        <w:rPr>
          <w:rFonts w:ascii="宋体" w:hAnsi="宋体"/>
          <w:b/>
          <w:sz w:val="84"/>
          <w:szCs w:val="84"/>
        </w:rPr>
      </w:pPr>
      <w:r>
        <w:rPr>
          <w:rFonts w:hint="eastAsia" w:ascii="宋体" w:hAnsi="宋体"/>
          <w:b/>
          <w:sz w:val="84"/>
          <w:szCs w:val="84"/>
        </w:rPr>
        <w:t>湖南工程学院采购</w:t>
      </w:r>
    </w:p>
    <w:p>
      <w:pPr>
        <w:spacing w:beforeLines="100" w:line="900" w:lineRule="exact"/>
        <w:jc w:val="center"/>
        <w:rPr>
          <w:rFonts w:ascii="宋体" w:hAnsi="宋体"/>
          <w:b/>
          <w:sz w:val="84"/>
          <w:szCs w:val="84"/>
        </w:rPr>
      </w:pPr>
      <w:r>
        <w:rPr>
          <w:rFonts w:hint="eastAsia" w:ascii="宋体" w:hAnsi="宋体"/>
          <w:b/>
          <w:sz w:val="84"/>
          <w:szCs w:val="84"/>
        </w:rPr>
        <w:t>公开招标文件</w:t>
      </w:r>
    </w:p>
    <w:p>
      <w:pPr>
        <w:jc w:val="center"/>
        <w:rPr>
          <w:rFonts w:ascii="宋体" w:hAnsi="宋体"/>
          <w:sz w:val="32"/>
          <w:szCs w:val="32"/>
        </w:rPr>
      </w:pPr>
    </w:p>
    <w:p>
      <w:pPr>
        <w:spacing w:line="880" w:lineRule="exact"/>
        <w:rPr>
          <w:rFonts w:ascii="宋体" w:hAnsi="宋体"/>
          <w:sz w:val="52"/>
        </w:rPr>
      </w:pPr>
    </w:p>
    <w:p>
      <w:pPr>
        <w:spacing w:line="880" w:lineRule="exact"/>
        <w:rPr>
          <w:rFonts w:ascii="宋体" w:hAnsi="宋体"/>
          <w:sz w:val="52"/>
        </w:rPr>
      </w:pPr>
    </w:p>
    <w:p>
      <w:pPr>
        <w:spacing w:line="740" w:lineRule="exact"/>
        <w:ind w:left="105" w:leftChars="50" w:right="105" w:rightChars="50" w:firstLine="340" w:firstLineChars="100"/>
        <w:rPr>
          <w:rFonts w:ascii="宋体" w:hAnsi="宋体"/>
          <w:color w:val="auto"/>
          <w:sz w:val="32"/>
          <w:szCs w:val="32"/>
        </w:rPr>
      </w:pPr>
      <w:r>
        <w:rPr>
          <w:rFonts w:hint="eastAsia" w:ascii="宋体" w:hAnsi="宋体"/>
          <w:spacing w:val="10"/>
          <w:sz w:val="32"/>
          <w:szCs w:val="32"/>
        </w:rPr>
        <w:t xml:space="preserve">     </w:t>
      </w:r>
      <w:r>
        <w:rPr>
          <w:rFonts w:hint="eastAsia" w:ascii="宋体" w:hAnsi="宋体"/>
          <w:b/>
          <w:bCs/>
          <w:color w:val="auto"/>
          <w:spacing w:val="10"/>
          <w:sz w:val="32"/>
          <w:szCs w:val="32"/>
        </w:rPr>
        <w:t>项目编号</w:t>
      </w:r>
      <w:r>
        <w:rPr>
          <w:rFonts w:hint="eastAsia" w:ascii="宋体" w:hAnsi="宋体"/>
          <w:color w:val="auto"/>
          <w:spacing w:val="10"/>
          <w:sz w:val="32"/>
          <w:szCs w:val="32"/>
        </w:rPr>
        <w:t>：HGGZ[2018]1024号</w:t>
      </w:r>
    </w:p>
    <w:p>
      <w:pPr>
        <w:spacing w:line="740" w:lineRule="exact"/>
        <w:ind w:left="2701" w:leftChars="230" w:right="105" w:rightChars="50" w:hanging="2218" w:hangingChars="650"/>
        <w:jc w:val="center"/>
        <w:rPr>
          <w:rFonts w:ascii="宋体" w:hAnsi="宋体"/>
          <w:b/>
          <w:bCs/>
          <w:color w:val="auto"/>
          <w:spacing w:val="10"/>
          <w:sz w:val="32"/>
          <w:szCs w:val="32"/>
        </w:rPr>
      </w:pPr>
      <w:r>
        <w:rPr>
          <w:rFonts w:hint="eastAsia" w:ascii="宋体" w:hAnsi="宋体"/>
          <w:b/>
          <w:bCs/>
          <w:color w:val="auto"/>
          <w:spacing w:val="10"/>
          <w:sz w:val="32"/>
          <w:szCs w:val="32"/>
        </w:rPr>
        <w:t xml:space="preserve">   项目名称：实验室废弃物暂存柜设备采购项目</w:t>
      </w:r>
    </w:p>
    <w:p>
      <w:pPr>
        <w:spacing w:line="720" w:lineRule="atLeast"/>
        <w:ind w:left="104" w:hanging="104" w:hangingChars="29"/>
        <w:rPr>
          <w:rFonts w:ascii="宋体" w:hAnsi="宋体"/>
          <w:color w:val="auto"/>
          <w:sz w:val="36"/>
          <w:szCs w:val="36"/>
        </w:rPr>
      </w:pPr>
    </w:p>
    <w:p>
      <w:pPr>
        <w:spacing w:line="880" w:lineRule="exact"/>
        <w:ind w:left="190"/>
        <w:jc w:val="left"/>
        <w:rPr>
          <w:rFonts w:ascii="宋体" w:hAnsi="宋体"/>
          <w:color w:val="auto"/>
          <w:sz w:val="36"/>
          <w:szCs w:val="36"/>
        </w:rPr>
      </w:pPr>
    </w:p>
    <w:p>
      <w:pPr>
        <w:jc w:val="left"/>
        <w:rPr>
          <w:rFonts w:ascii="宋体" w:hAnsi="宋体"/>
          <w:color w:val="auto"/>
          <w:sz w:val="36"/>
          <w:szCs w:val="36"/>
        </w:rPr>
      </w:pPr>
    </w:p>
    <w:p>
      <w:pPr>
        <w:jc w:val="left"/>
        <w:rPr>
          <w:rFonts w:ascii="宋体" w:hAnsi="宋体"/>
          <w:color w:val="auto"/>
          <w:sz w:val="52"/>
        </w:rPr>
      </w:pPr>
    </w:p>
    <w:p>
      <w:pPr>
        <w:pStyle w:val="68"/>
        <w:spacing w:line="720" w:lineRule="auto"/>
        <w:ind w:firstLine="116" w:firstLineChars="28"/>
        <w:rPr>
          <w:rFonts w:ascii="宋体" w:hAnsi="宋体" w:eastAsia="宋体"/>
          <w:bCs/>
          <w:color w:val="auto"/>
          <w:spacing w:val="30"/>
        </w:rPr>
      </w:pPr>
      <w:r>
        <w:rPr>
          <w:rFonts w:hint="eastAsia" w:ascii="宋体" w:hAnsi="宋体" w:eastAsia="宋体"/>
          <w:color w:val="auto"/>
          <w:spacing w:val="26"/>
          <w:sz w:val="36"/>
          <w:szCs w:val="36"/>
        </w:rPr>
        <w:t>湖南工程学院</w:t>
      </w:r>
    </w:p>
    <w:p>
      <w:pPr>
        <w:widowControl/>
        <w:spacing w:line="720" w:lineRule="auto"/>
        <w:jc w:val="center"/>
        <w:rPr>
          <w:rFonts w:ascii="宋体" w:hAnsi="宋体"/>
          <w:color w:val="auto"/>
          <w:sz w:val="52"/>
        </w:rPr>
      </w:pPr>
      <w:r>
        <w:rPr>
          <w:rFonts w:hint="eastAsia" w:ascii="宋体" w:hAnsi="宋体" w:cs="宋体"/>
          <w:b/>
          <w:bCs/>
          <w:color w:val="auto"/>
          <w:kern w:val="0"/>
          <w:sz w:val="32"/>
          <w:szCs w:val="32"/>
        </w:rPr>
        <w:t>二○一八年十月</w:t>
      </w:r>
    </w:p>
    <w:p>
      <w:pPr>
        <w:spacing w:line="420" w:lineRule="atLeast"/>
        <w:jc w:val="center"/>
        <w:rPr>
          <w:rFonts w:ascii="宋体" w:hAnsi="宋体"/>
          <w:b/>
          <w:bCs/>
          <w:color w:val="auto"/>
          <w:sz w:val="32"/>
        </w:rPr>
      </w:pPr>
    </w:p>
    <w:p>
      <w:pPr>
        <w:spacing w:line="420" w:lineRule="atLeast"/>
        <w:rPr>
          <w:rFonts w:ascii="宋体" w:hAnsi="宋体"/>
          <w:b/>
          <w:bCs/>
          <w:color w:val="auto"/>
          <w:sz w:val="32"/>
        </w:rPr>
        <w:sectPr>
          <w:footerReference r:id="rId3" w:type="default"/>
          <w:footerReference r:id="rId4" w:type="even"/>
          <w:type w:val="nextColumn"/>
          <w:pgSz w:w="11906" w:h="16838"/>
          <w:pgMar w:top="1440" w:right="1486" w:bottom="1440" w:left="1800" w:header="851" w:footer="992" w:gutter="0"/>
          <w:paperSrc w:first="7" w:other="7"/>
          <w:pgNumType w:start="1"/>
          <w:cols w:space="720" w:num="1"/>
          <w:docGrid w:type="lines" w:linePitch="312" w:charSpace="0"/>
        </w:sectPr>
      </w:pPr>
    </w:p>
    <w:p>
      <w:pPr>
        <w:adjustRightInd w:val="0"/>
        <w:snapToGrid w:val="0"/>
        <w:spacing w:beforeLines="150" w:afterLines="150" w:line="460" w:lineRule="atLeast"/>
        <w:ind w:left="726" w:hanging="726"/>
        <w:jc w:val="center"/>
        <w:rPr>
          <w:rFonts w:ascii="宋体" w:hAnsi="宋体"/>
          <w:b/>
          <w:color w:val="auto"/>
          <w:sz w:val="44"/>
          <w:szCs w:val="44"/>
        </w:rPr>
      </w:pPr>
      <w:r>
        <w:rPr>
          <w:rFonts w:hint="eastAsia" w:ascii="宋体" w:hAnsi="宋体"/>
          <w:b/>
          <w:color w:val="auto"/>
          <w:sz w:val="44"/>
          <w:szCs w:val="44"/>
        </w:rPr>
        <w:t>投标人须知前附表</w:t>
      </w:r>
    </w:p>
    <w:tbl>
      <w:tblPr>
        <w:tblStyle w:val="47"/>
        <w:tblW w:w="8568"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008"/>
        <w:gridCol w:w="756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96" w:hRule="atLeast"/>
        </w:trPr>
        <w:tc>
          <w:tcPr>
            <w:tcW w:w="1008" w:type="dxa"/>
            <w:vAlign w:val="center"/>
          </w:tcPr>
          <w:p>
            <w:pPr>
              <w:spacing w:line="400" w:lineRule="atLeast"/>
              <w:jc w:val="center"/>
              <w:rPr>
                <w:rFonts w:ascii="宋体" w:hAnsi="宋体"/>
                <w:b/>
                <w:color w:val="auto"/>
                <w:sz w:val="24"/>
              </w:rPr>
            </w:pPr>
            <w:r>
              <w:rPr>
                <w:rFonts w:hint="eastAsia" w:ascii="宋体" w:hAnsi="宋体"/>
                <w:b/>
                <w:color w:val="auto"/>
                <w:sz w:val="24"/>
              </w:rPr>
              <w:t>序号</w:t>
            </w:r>
          </w:p>
        </w:tc>
        <w:tc>
          <w:tcPr>
            <w:tcW w:w="7560" w:type="dxa"/>
            <w:vAlign w:val="center"/>
          </w:tcPr>
          <w:p>
            <w:pPr>
              <w:spacing w:line="400" w:lineRule="atLeast"/>
              <w:jc w:val="center"/>
              <w:rPr>
                <w:rFonts w:ascii="宋体" w:hAnsi="宋体"/>
                <w:b/>
                <w:color w:val="auto"/>
                <w:sz w:val="24"/>
              </w:rPr>
            </w:pPr>
            <w:r>
              <w:rPr>
                <w:rFonts w:hint="eastAsia" w:ascii="宋体" w:hAnsi="宋体"/>
                <w:b/>
                <w:color w:val="auto"/>
                <w:sz w:val="24"/>
              </w:rPr>
              <w:t>内  容  及  规  定</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80" w:hRule="atLeast"/>
        </w:trPr>
        <w:tc>
          <w:tcPr>
            <w:tcW w:w="1008" w:type="dxa"/>
            <w:vAlign w:val="center"/>
          </w:tcPr>
          <w:p>
            <w:pPr>
              <w:numPr>
                <w:ilvl w:val="0"/>
                <w:numId w:val="2"/>
              </w:numPr>
              <w:spacing w:line="400" w:lineRule="atLeast"/>
              <w:ind w:hanging="397"/>
              <w:jc w:val="center"/>
              <w:rPr>
                <w:rFonts w:ascii="宋体" w:hAnsi="宋体"/>
                <w:color w:val="auto"/>
                <w:szCs w:val="21"/>
              </w:rPr>
            </w:pPr>
          </w:p>
        </w:tc>
        <w:tc>
          <w:tcPr>
            <w:tcW w:w="7560" w:type="dxa"/>
            <w:vAlign w:val="center"/>
          </w:tcPr>
          <w:p>
            <w:pPr>
              <w:ind w:left="150" w:leftChars="-500" w:hanging="1200" w:hangingChars="5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招标内容招标内容：实验室废弃物暂存柜设备采购项目</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80" w:hRule="atLeast"/>
        </w:trPr>
        <w:tc>
          <w:tcPr>
            <w:tcW w:w="1008" w:type="dxa"/>
            <w:vAlign w:val="center"/>
          </w:tcPr>
          <w:p>
            <w:pPr>
              <w:numPr>
                <w:ilvl w:val="0"/>
                <w:numId w:val="2"/>
              </w:numPr>
              <w:spacing w:line="400" w:lineRule="atLeast"/>
              <w:ind w:hanging="397"/>
              <w:jc w:val="center"/>
              <w:rPr>
                <w:rFonts w:ascii="宋体" w:hAnsi="宋体"/>
                <w:color w:val="auto"/>
                <w:szCs w:val="21"/>
              </w:rPr>
            </w:pPr>
          </w:p>
        </w:tc>
        <w:tc>
          <w:tcPr>
            <w:tcW w:w="7560" w:type="dxa"/>
            <w:vAlign w:val="center"/>
          </w:tcPr>
          <w:p>
            <w:pPr>
              <w:spacing w:line="400" w:lineRule="atLeas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投标文件递交时间：2018年11月16日上午8：30～9：00时（北京时间）</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80" w:hRule="atLeast"/>
        </w:trPr>
        <w:tc>
          <w:tcPr>
            <w:tcW w:w="1008" w:type="dxa"/>
            <w:vAlign w:val="center"/>
          </w:tcPr>
          <w:p>
            <w:pPr>
              <w:numPr>
                <w:ilvl w:val="0"/>
                <w:numId w:val="2"/>
              </w:numPr>
              <w:spacing w:line="400" w:lineRule="atLeast"/>
              <w:ind w:hanging="397"/>
              <w:jc w:val="center"/>
              <w:rPr>
                <w:rFonts w:ascii="宋体" w:hAnsi="宋体"/>
                <w:color w:val="auto"/>
                <w:szCs w:val="21"/>
              </w:rPr>
            </w:pPr>
          </w:p>
        </w:tc>
        <w:tc>
          <w:tcPr>
            <w:tcW w:w="7560" w:type="dxa"/>
            <w:vAlign w:val="center"/>
          </w:tcPr>
          <w:p>
            <w:pPr>
              <w:spacing w:line="400" w:lineRule="atLeas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开标时间： 2018年11月16日上午9：00时（北京时间）</w:t>
            </w:r>
          </w:p>
          <w:p>
            <w:pPr>
              <w:spacing w:line="384" w:lineRule="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开标地点： 湖南工程学院主校区机械楼311号</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80" w:hRule="atLeast"/>
        </w:trPr>
        <w:tc>
          <w:tcPr>
            <w:tcW w:w="1008" w:type="dxa"/>
            <w:vAlign w:val="center"/>
          </w:tcPr>
          <w:p>
            <w:pPr>
              <w:numPr>
                <w:ilvl w:val="0"/>
                <w:numId w:val="2"/>
              </w:numPr>
              <w:spacing w:line="400" w:lineRule="atLeast"/>
              <w:ind w:hanging="397"/>
              <w:jc w:val="center"/>
              <w:rPr>
                <w:rFonts w:ascii="宋体" w:hAnsi="宋体"/>
                <w:color w:val="auto"/>
                <w:szCs w:val="21"/>
              </w:rPr>
            </w:pPr>
          </w:p>
        </w:tc>
        <w:tc>
          <w:tcPr>
            <w:tcW w:w="7560" w:type="dxa"/>
            <w:vAlign w:val="center"/>
          </w:tcPr>
          <w:p>
            <w:pPr>
              <w:pStyle w:val="18"/>
              <w:adjustRightInd w:val="0"/>
              <w:snapToGrid w:val="0"/>
              <w:spacing w:line="380" w:lineRule="atLeast"/>
              <w:rPr>
                <w:rFonts w:asciiTheme="minorEastAsia" w:hAnsiTheme="minorEastAsia" w:eastAsiaTheme="minorEastAsia" w:cstheme="minorEastAsia"/>
                <w:b/>
                <w:color w:val="auto"/>
                <w:szCs w:val="24"/>
              </w:rPr>
            </w:pPr>
            <w:r>
              <w:rPr>
                <w:rFonts w:hint="eastAsia" w:asciiTheme="minorEastAsia" w:hAnsiTheme="minorEastAsia" w:eastAsiaTheme="minorEastAsia" w:cstheme="minorEastAsia"/>
                <w:color w:val="auto"/>
                <w:szCs w:val="24"/>
              </w:rPr>
              <w:t>投标文件递交至：湖南工程学院机械楼311号。</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80" w:hRule="atLeast"/>
        </w:trPr>
        <w:tc>
          <w:tcPr>
            <w:tcW w:w="1008" w:type="dxa"/>
            <w:vAlign w:val="center"/>
          </w:tcPr>
          <w:p>
            <w:pPr>
              <w:numPr>
                <w:ilvl w:val="0"/>
                <w:numId w:val="2"/>
              </w:numPr>
              <w:spacing w:line="400" w:lineRule="atLeast"/>
              <w:ind w:hanging="397"/>
              <w:jc w:val="center"/>
              <w:rPr>
                <w:rFonts w:ascii="宋体" w:hAnsi="宋体"/>
                <w:color w:val="auto"/>
                <w:szCs w:val="21"/>
              </w:rPr>
            </w:pPr>
          </w:p>
        </w:tc>
        <w:tc>
          <w:tcPr>
            <w:tcW w:w="7560" w:type="dxa"/>
            <w:vAlign w:val="center"/>
          </w:tcPr>
          <w:p>
            <w:pPr>
              <w:spacing w:line="400" w:lineRule="atLeas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投标有效期：90天（日历日）</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80" w:hRule="atLeast"/>
        </w:trPr>
        <w:tc>
          <w:tcPr>
            <w:tcW w:w="1008" w:type="dxa"/>
            <w:vAlign w:val="center"/>
          </w:tcPr>
          <w:p>
            <w:pPr>
              <w:numPr>
                <w:ilvl w:val="0"/>
                <w:numId w:val="2"/>
              </w:numPr>
              <w:spacing w:line="400" w:lineRule="atLeast"/>
              <w:ind w:hanging="397"/>
              <w:jc w:val="center"/>
              <w:rPr>
                <w:rFonts w:ascii="宋体" w:hAnsi="宋体"/>
                <w:color w:val="auto"/>
                <w:szCs w:val="21"/>
              </w:rPr>
            </w:pPr>
          </w:p>
        </w:tc>
        <w:tc>
          <w:tcPr>
            <w:tcW w:w="7560" w:type="dxa"/>
            <w:vAlign w:val="center"/>
          </w:tcPr>
          <w:p>
            <w:pPr>
              <w:spacing w:line="400" w:lineRule="atLeas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投标文件份数：正本1份，副本4份。</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80" w:hRule="atLeast"/>
        </w:trPr>
        <w:tc>
          <w:tcPr>
            <w:tcW w:w="1008" w:type="dxa"/>
            <w:vAlign w:val="center"/>
          </w:tcPr>
          <w:p>
            <w:pPr>
              <w:numPr>
                <w:ilvl w:val="0"/>
                <w:numId w:val="2"/>
              </w:numPr>
              <w:spacing w:line="400" w:lineRule="atLeast"/>
              <w:ind w:hanging="397"/>
              <w:jc w:val="center"/>
              <w:rPr>
                <w:rFonts w:ascii="宋体" w:hAnsi="宋体"/>
                <w:color w:val="auto"/>
                <w:szCs w:val="21"/>
              </w:rPr>
            </w:pPr>
          </w:p>
        </w:tc>
        <w:tc>
          <w:tcPr>
            <w:tcW w:w="7560" w:type="dxa"/>
            <w:vAlign w:val="center"/>
          </w:tcPr>
          <w:p>
            <w:pPr>
              <w:spacing w:line="400" w:lineRule="atLeas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交货地：湖南工程学院</w:t>
            </w:r>
            <w:r>
              <w:rPr>
                <w:rFonts w:hint="eastAsia" w:asciiTheme="minorEastAsia" w:hAnsiTheme="minorEastAsia" w:eastAsiaTheme="minorEastAsia" w:cstheme="minorEastAsia"/>
                <w:color w:val="auto"/>
                <w:sz w:val="24"/>
                <w:u w:val="single"/>
              </w:rPr>
              <w:t>校内指定地点。</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80" w:hRule="atLeast"/>
        </w:trPr>
        <w:tc>
          <w:tcPr>
            <w:tcW w:w="1008" w:type="dxa"/>
            <w:vAlign w:val="center"/>
          </w:tcPr>
          <w:p>
            <w:pPr>
              <w:numPr>
                <w:ilvl w:val="0"/>
                <w:numId w:val="2"/>
              </w:numPr>
              <w:spacing w:line="400" w:lineRule="atLeast"/>
              <w:ind w:hanging="397"/>
              <w:jc w:val="center"/>
              <w:rPr>
                <w:rFonts w:ascii="宋体" w:hAnsi="宋体"/>
                <w:color w:val="auto"/>
                <w:szCs w:val="21"/>
              </w:rPr>
            </w:pPr>
          </w:p>
        </w:tc>
        <w:tc>
          <w:tcPr>
            <w:tcW w:w="7560" w:type="dxa"/>
            <w:vAlign w:val="center"/>
          </w:tcPr>
          <w:p>
            <w:pPr>
              <w:spacing w:line="400" w:lineRule="atLeast"/>
              <w:jc w:val="lef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交货期：按</w:t>
            </w:r>
            <w:r>
              <w:rPr>
                <w:rFonts w:hint="eastAsia" w:asciiTheme="minorEastAsia" w:hAnsiTheme="minorEastAsia" w:eastAsiaTheme="minorEastAsia" w:cstheme="minorEastAsia"/>
                <w:bCs/>
                <w:color w:val="auto"/>
                <w:sz w:val="24"/>
              </w:rPr>
              <w:t>合同双方签订的日期。</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80" w:hRule="atLeast"/>
        </w:trPr>
        <w:tc>
          <w:tcPr>
            <w:tcW w:w="1008" w:type="dxa"/>
            <w:vAlign w:val="center"/>
          </w:tcPr>
          <w:p>
            <w:pPr>
              <w:numPr>
                <w:ilvl w:val="0"/>
                <w:numId w:val="2"/>
              </w:numPr>
              <w:spacing w:line="400" w:lineRule="atLeast"/>
              <w:ind w:hanging="397"/>
              <w:jc w:val="center"/>
              <w:rPr>
                <w:rFonts w:ascii="宋体" w:hAnsi="宋体"/>
                <w:color w:val="auto"/>
                <w:szCs w:val="21"/>
              </w:rPr>
            </w:pPr>
          </w:p>
        </w:tc>
        <w:tc>
          <w:tcPr>
            <w:tcW w:w="7560" w:type="dxa"/>
            <w:vAlign w:val="center"/>
          </w:tcPr>
          <w:p>
            <w:pPr>
              <w:spacing w:line="460" w:lineRule="exac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支付方式：本项目不预付货款。经用户验收合格后二十日内，凭用户验收证明单及卖方开具的发票支付货款的95%，余下5%货款作为质量保证金在质保期满后十五天内凭用户验收证明单及卖方开具的发票一次付清。</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80" w:hRule="atLeast"/>
        </w:trPr>
        <w:tc>
          <w:tcPr>
            <w:tcW w:w="1008" w:type="dxa"/>
            <w:vAlign w:val="center"/>
          </w:tcPr>
          <w:p>
            <w:pPr>
              <w:numPr>
                <w:ilvl w:val="0"/>
                <w:numId w:val="2"/>
              </w:numPr>
              <w:spacing w:line="400" w:lineRule="atLeast"/>
              <w:ind w:hanging="397"/>
              <w:jc w:val="center"/>
              <w:rPr>
                <w:rFonts w:ascii="宋体" w:hAnsi="宋体"/>
                <w:color w:val="auto"/>
                <w:szCs w:val="21"/>
              </w:rPr>
            </w:pPr>
          </w:p>
        </w:tc>
        <w:tc>
          <w:tcPr>
            <w:tcW w:w="7560" w:type="dxa"/>
            <w:vAlign w:val="center"/>
          </w:tcPr>
          <w:p>
            <w:pPr>
              <w:spacing w:line="400" w:lineRule="exact"/>
              <w:ind w:firstLine="218" w:firstLineChars="91"/>
              <w:jc w:val="lef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投标保证金伍仟元，在2018年11月16日上午9:00前由汇入湖南工程学院财务处，中标者签订合同后转为履约保证金，未中标者10个工作日无息退还。</w:t>
            </w:r>
          </w:p>
          <w:p>
            <w:pPr>
              <w:spacing w:line="400" w:lineRule="exact"/>
              <w:jc w:val="left"/>
              <w:rPr>
                <w:rFonts w:asciiTheme="minorEastAsia" w:hAnsiTheme="minorEastAsia" w:eastAsiaTheme="minorEastAsia" w:cstheme="minorEastAsia"/>
                <w:bCs/>
                <w:color w:val="auto"/>
                <w:sz w:val="24"/>
              </w:rPr>
            </w:pPr>
            <w:r>
              <w:rPr>
                <w:rFonts w:hint="eastAsia" w:asciiTheme="minorEastAsia" w:hAnsiTheme="minorEastAsia" w:eastAsiaTheme="minorEastAsia" w:cstheme="minorEastAsia"/>
                <w:color w:val="auto"/>
                <w:sz w:val="24"/>
                <w:u w:val="single"/>
              </w:rPr>
              <w:t>银行户名：湖南工程学院，账号：1904031109026409320，开户行：工</w:t>
            </w:r>
            <w:r>
              <w:rPr>
                <w:rFonts w:hint="eastAsia" w:asciiTheme="minorEastAsia" w:hAnsiTheme="minorEastAsia" w:eastAsiaTheme="minorEastAsia" w:cstheme="minorEastAsia"/>
                <w:color w:val="auto"/>
                <w:sz w:val="24"/>
              </w:rPr>
              <w:t>商银行湘潭岳塘支行，请在附言栏注明：</w:t>
            </w:r>
            <w:r>
              <w:rPr>
                <w:rFonts w:hint="eastAsia" w:asciiTheme="minorEastAsia" w:hAnsiTheme="minorEastAsia" w:eastAsiaTheme="minorEastAsia" w:cstheme="minorEastAsia"/>
                <w:b/>
                <w:bCs/>
                <w:color w:val="auto"/>
                <w:sz w:val="30"/>
                <w:szCs w:val="30"/>
              </w:rPr>
              <w:t>投标保证金+单位或个人</w:t>
            </w:r>
            <w:r>
              <w:rPr>
                <w:rFonts w:hint="eastAsia" w:asciiTheme="minorEastAsia" w:hAnsiTheme="minorEastAsia" w:eastAsiaTheme="minorEastAsia" w:cstheme="minorEastAsia"/>
                <w:b/>
                <w:bCs/>
                <w:color w:val="auto"/>
                <w:sz w:val="24"/>
              </w:rPr>
              <w:t xml:space="preserve"> </w:t>
            </w:r>
            <w:r>
              <w:rPr>
                <w:rFonts w:hint="eastAsia" w:asciiTheme="minorEastAsia" w:hAnsiTheme="minorEastAsia" w:eastAsiaTheme="minorEastAsia" w:cstheme="minorEastAsia"/>
                <w:color w:val="auto"/>
                <w:sz w:val="24"/>
              </w:rPr>
              <w:t xml:space="preserve">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80" w:hRule="atLeast"/>
        </w:trPr>
        <w:tc>
          <w:tcPr>
            <w:tcW w:w="1008" w:type="dxa"/>
            <w:vAlign w:val="center"/>
          </w:tcPr>
          <w:p>
            <w:pPr>
              <w:numPr>
                <w:ilvl w:val="0"/>
                <w:numId w:val="2"/>
              </w:numPr>
              <w:spacing w:line="400" w:lineRule="atLeast"/>
              <w:ind w:hanging="397"/>
              <w:jc w:val="center"/>
              <w:rPr>
                <w:rFonts w:ascii="宋体" w:hAnsi="宋体"/>
                <w:color w:val="auto"/>
                <w:szCs w:val="21"/>
              </w:rPr>
            </w:pPr>
          </w:p>
        </w:tc>
        <w:tc>
          <w:tcPr>
            <w:tcW w:w="7560" w:type="dxa"/>
            <w:vAlign w:val="center"/>
          </w:tcPr>
          <w:p>
            <w:pPr>
              <w:pStyle w:val="52"/>
              <w:widowControl w:val="0"/>
              <w:spacing w:before="62" w:after="62" w:line="240" w:lineRule="auto"/>
              <w:ind w:firstLine="0"/>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
                <w:color w:val="auto"/>
                <w:sz w:val="24"/>
                <w:szCs w:val="24"/>
              </w:rPr>
              <w:t>依照国家相关法规规定，经评标小组认定，低于市场成本的恶意投标价做废标处理。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80" w:hRule="atLeast"/>
        </w:trPr>
        <w:tc>
          <w:tcPr>
            <w:tcW w:w="1008" w:type="dxa"/>
            <w:vAlign w:val="center"/>
          </w:tcPr>
          <w:p>
            <w:pPr>
              <w:numPr>
                <w:ilvl w:val="0"/>
                <w:numId w:val="2"/>
              </w:numPr>
              <w:spacing w:line="400" w:lineRule="atLeast"/>
              <w:ind w:hanging="397"/>
              <w:jc w:val="center"/>
              <w:rPr>
                <w:rFonts w:ascii="宋体" w:hAnsi="宋体"/>
                <w:color w:val="auto"/>
                <w:szCs w:val="21"/>
              </w:rPr>
            </w:pPr>
          </w:p>
        </w:tc>
        <w:tc>
          <w:tcPr>
            <w:tcW w:w="7560" w:type="dxa"/>
            <w:vAlign w:val="center"/>
          </w:tcPr>
          <w:p>
            <w:pPr>
              <w:pStyle w:val="52"/>
              <w:widowControl w:val="0"/>
              <w:spacing w:before="62" w:after="62" w:line="240" w:lineRule="auto"/>
              <w:ind w:firstLine="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投标人认为招标文件存在歧视性条款的，应在获取招标文件之日起3日内以书面形式向湖南工程学院采购与招标管理中心提出质疑。若无质疑，视同认可招标文件。</w:t>
            </w:r>
          </w:p>
        </w:tc>
      </w:tr>
    </w:tbl>
    <w:p>
      <w:pPr>
        <w:adjustRightInd w:val="0"/>
        <w:snapToGrid w:val="0"/>
        <w:spacing w:line="460" w:lineRule="atLeast"/>
        <w:ind w:left="723" w:hanging="723"/>
        <w:rPr>
          <w:rFonts w:ascii="宋体" w:hAnsi="宋体"/>
          <w:b/>
          <w:color w:val="auto"/>
          <w:sz w:val="48"/>
        </w:rPr>
      </w:pPr>
    </w:p>
    <w:p>
      <w:pPr>
        <w:adjustRightInd w:val="0"/>
        <w:snapToGrid w:val="0"/>
        <w:spacing w:beforeLines="150" w:afterLines="150" w:line="460" w:lineRule="atLeast"/>
        <w:ind w:left="726" w:hanging="726"/>
        <w:jc w:val="center"/>
        <w:rPr>
          <w:rFonts w:ascii="宋体" w:hAnsi="宋体"/>
          <w:b/>
          <w:color w:val="auto"/>
          <w:sz w:val="44"/>
          <w:szCs w:val="44"/>
        </w:rPr>
        <w:sectPr>
          <w:headerReference r:id="rId5" w:type="default"/>
          <w:footerReference r:id="rId6" w:type="default"/>
          <w:type w:val="nextColumn"/>
          <w:pgSz w:w="11906" w:h="16838"/>
          <w:pgMar w:top="907" w:right="1588" w:bottom="1219" w:left="1588" w:header="567" w:footer="454" w:gutter="0"/>
          <w:paperSrc w:first="1" w:other="1"/>
          <w:pgNumType w:start="1"/>
          <w:cols w:space="720" w:num="1"/>
          <w:docGrid w:linePitch="312" w:charSpace="0"/>
        </w:sectPr>
      </w:pPr>
    </w:p>
    <w:p>
      <w:pPr>
        <w:numPr>
          <w:ilvl w:val="0"/>
          <w:numId w:val="3"/>
        </w:numPr>
        <w:adjustRightInd w:val="0"/>
        <w:snapToGrid w:val="0"/>
        <w:jc w:val="center"/>
        <w:rPr>
          <w:rFonts w:ascii="宋体" w:hAnsi="宋体" w:cs="宋体"/>
          <w:b/>
          <w:color w:val="auto"/>
          <w:sz w:val="36"/>
          <w:szCs w:val="36"/>
        </w:rPr>
      </w:pPr>
      <w:bookmarkStart w:id="0" w:name="_Toc103569359"/>
      <w:bookmarkStart w:id="1" w:name="_Toc134155404"/>
      <w:bookmarkStart w:id="2" w:name="_Toc193643679"/>
      <w:bookmarkStart w:id="3" w:name="_Toc98725661"/>
      <w:bookmarkStart w:id="4" w:name="_Toc261206942"/>
      <w:bookmarkStart w:id="5" w:name="_Toc384934431"/>
      <w:r>
        <w:rPr>
          <w:rFonts w:hint="eastAsia" w:ascii="宋体" w:hAnsi="宋体" w:cs="宋体"/>
          <w:b/>
          <w:color w:val="auto"/>
          <w:sz w:val="36"/>
          <w:szCs w:val="36"/>
        </w:rPr>
        <w:t>实验室废弃物暂存柜设备采购项目</w:t>
      </w:r>
    </w:p>
    <w:p>
      <w:pPr>
        <w:adjustRightInd w:val="0"/>
        <w:snapToGrid w:val="0"/>
        <w:jc w:val="center"/>
        <w:rPr>
          <w:rFonts w:ascii="宋体" w:hAnsi="宋体" w:cs="宋体"/>
          <w:b/>
          <w:color w:val="auto"/>
          <w:sz w:val="36"/>
          <w:szCs w:val="36"/>
        </w:rPr>
      </w:pPr>
      <w:r>
        <w:rPr>
          <w:rFonts w:hint="eastAsia" w:ascii="宋体" w:hAnsi="宋体" w:cs="宋体"/>
          <w:b/>
          <w:color w:val="auto"/>
          <w:sz w:val="36"/>
          <w:szCs w:val="36"/>
        </w:rPr>
        <w:t>招标公告</w:t>
      </w:r>
    </w:p>
    <w:p>
      <w:pPr>
        <w:adjustRightInd w:val="0"/>
        <w:snapToGrid w:val="0"/>
        <w:spacing w:line="360" w:lineRule="auto"/>
        <w:ind w:firstLine="480" w:firstLineChars="200"/>
        <w:rPr>
          <w:rFonts w:ascii="宋体" w:hAnsi="宋体" w:cs="宋体"/>
          <w:color w:val="auto"/>
          <w:kern w:val="0"/>
          <w:sz w:val="24"/>
        </w:rPr>
      </w:pPr>
    </w:p>
    <w:p>
      <w:pPr>
        <w:adjustRightInd w:val="0"/>
        <w:snapToGrid w:val="0"/>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依照《中华人民共和国招标及投标法》的有关规定，本着公正、公平、公开的原则，学校拟对实验室废弃物暂存柜设备采购项目组织公开招标，欢迎符合条件的单位前来参加投标。</w:t>
      </w:r>
    </w:p>
    <w:p>
      <w:pPr>
        <w:numPr>
          <w:ilvl w:val="0"/>
          <w:numId w:val="4"/>
        </w:numPr>
        <w:adjustRightInd w:val="0"/>
        <w:snapToGrid w:val="0"/>
        <w:spacing w:line="360" w:lineRule="auto"/>
        <w:rPr>
          <w:rFonts w:ascii="宋体" w:hAnsi="宋体" w:cs="宋体"/>
          <w:color w:val="auto"/>
          <w:kern w:val="0"/>
          <w:sz w:val="24"/>
        </w:rPr>
      </w:pPr>
      <w:r>
        <w:rPr>
          <w:rFonts w:hint="eastAsia" w:ascii="宋体" w:hAnsi="宋体" w:cs="宋体"/>
          <w:b/>
          <w:color w:val="auto"/>
          <w:kern w:val="0"/>
          <w:sz w:val="24"/>
        </w:rPr>
        <w:t>项目名称：</w:t>
      </w:r>
    </w:p>
    <w:p>
      <w:pPr>
        <w:adjustRightInd w:val="0"/>
        <w:snapToGrid w:val="0"/>
        <w:spacing w:line="360" w:lineRule="auto"/>
        <w:ind w:left="230" w:hanging="10"/>
        <w:rPr>
          <w:rFonts w:ascii="宋体" w:hAnsi="宋体" w:cs="宋体"/>
          <w:color w:val="auto"/>
          <w:kern w:val="0"/>
          <w:szCs w:val="21"/>
        </w:rPr>
      </w:pPr>
      <w:r>
        <w:rPr>
          <w:rFonts w:hint="eastAsia" w:ascii="宋体" w:hAnsi="宋体" w:cs="宋体"/>
          <w:color w:val="auto"/>
          <w:kern w:val="0"/>
          <w:sz w:val="24"/>
        </w:rPr>
        <w:t xml:space="preserve">实验室废弃物暂存柜设备采购项目 </w:t>
      </w:r>
      <w:r>
        <w:rPr>
          <w:rFonts w:hint="eastAsia" w:ascii="宋体" w:hAnsi="宋体" w:cs="宋体"/>
          <w:color w:val="auto"/>
          <w:kern w:val="0"/>
          <w:szCs w:val="21"/>
        </w:rPr>
        <w:t>（项目编号：HGGZ[2018]1024号）</w:t>
      </w:r>
    </w:p>
    <w:p>
      <w:pPr>
        <w:numPr>
          <w:ilvl w:val="0"/>
          <w:numId w:val="4"/>
        </w:numPr>
        <w:adjustRightInd w:val="0"/>
        <w:snapToGrid w:val="0"/>
        <w:spacing w:line="360" w:lineRule="auto"/>
        <w:rPr>
          <w:rFonts w:ascii="宋体" w:hAnsi="宋体" w:cs="宋体"/>
          <w:b/>
          <w:color w:val="auto"/>
          <w:kern w:val="0"/>
          <w:sz w:val="24"/>
        </w:rPr>
      </w:pPr>
      <w:r>
        <w:rPr>
          <w:rFonts w:hint="eastAsia" w:ascii="宋体" w:hAnsi="宋体" w:cs="宋体"/>
          <w:b/>
          <w:color w:val="auto"/>
          <w:kern w:val="0"/>
          <w:sz w:val="24"/>
        </w:rPr>
        <w:t>招标项目简要说明（详细见招标文件第四章）：</w:t>
      </w:r>
    </w:p>
    <w:tbl>
      <w:tblPr>
        <w:tblStyle w:val="47"/>
        <w:tblW w:w="7911" w:type="dxa"/>
        <w:tblInd w:w="5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1"/>
        <w:gridCol w:w="3360"/>
        <w:gridCol w:w="1690"/>
        <w:gridCol w:w="1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atLeast"/>
          <w:tblHeader/>
        </w:trPr>
        <w:tc>
          <w:tcPr>
            <w:tcW w:w="1181" w:type="dxa"/>
            <w:tcBorders>
              <w:top w:val="single" w:color="auto" w:sz="12" w:space="0"/>
              <w:left w:val="single" w:color="auto" w:sz="12" w:space="0"/>
              <w:bottom w:val="single" w:color="auto" w:sz="12" w:space="0"/>
              <w:right w:val="single" w:color="auto" w:sz="12" w:space="0"/>
            </w:tcBorders>
            <w:vAlign w:val="center"/>
          </w:tcPr>
          <w:p>
            <w:pPr>
              <w:adjustRightInd w:val="0"/>
              <w:snapToGrid w:val="0"/>
              <w:spacing w:line="240" w:lineRule="atLeast"/>
              <w:jc w:val="center"/>
              <w:rPr>
                <w:rFonts w:ascii="宋体" w:hAnsi="宋体" w:cs="宋体"/>
                <w:color w:val="auto"/>
                <w:kern w:val="0"/>
                <w:sz w:val="24"/>
              </w:rPr>
            </w:pPr>
            <w:r>
              <w:rPr>
                <w:rFonts w:hint="eastAsia" w:ascii="宋体" w:hAnsi="宋体" w:cs="宋体"/>
                <w:color w:val="auto"/>
                <w:kern w:val="0"/>
                <w:sz w:val="24"/>
              </w:rPr>
              <w:t>分包号</w:t>
            </w:r>
          </w:p>
        </w:tc>
        <w:tc>
          <w:tcPr>
            <w:tcW w:w="3360" w:type="dxa"/>
            <w:tcBorders>
              <w:top w:val="single" w:color="auto" w:sz="12" w:space="0"/>
              <w:left w:val="single" w:color="auto" w:sz="12" w:space="0"/>
              <w:bottom w:val="single" w:color="auto" w:sz="12" w:space="0"/>
              <w:right w:val="single" w:color="auto" w:sz="12" w:space="0"/>
            </w:tcBorders>
            <w:vAlign w:val="center"/>
          </w:tcPr>
          <w:p>
            <w:pPr>
              <w:jc w:val="center"/>
              <w:rPr>
                <w:rFonts w:ascii="宋体" w:hAnsi="宋体" w:cs="宋体"/>
                <w:color w:val="auto"/>
                <w:kern w:val="0"/>
                <w:sz w:val="24"/>
              </w:rPr>
            </w:pPr>
            <w:r>
              <w:rPr>
                <w:rFonts w:hint="eastAsia" w:ascii="宋体" w:hAnsi="宋体" w:cs="宋体"/>
                <w:color w:val="auto"/>
                <w:kern w:val="0"/>
                <w:sz w:val="24"/>
              </w:rPr>
              <w:t>采购内容</w:t>
            </w:r>
          </w:p>
        </w:tc>
        <w:tc>
          <w:tcPr>
            <w:tcW w:w="1690" w:type="dxa"/>
            <w:tcBorders>
              <w:top w:val="single" w:color="auto" w:sz="12" w:space="0"/>
              <w:left w:val="single" w:color="auto" w:sz="12" w:space="0"/>
              <w:bottom w:val="single" w:color="auto" w:sz="12" w:space="0"/>
              <w:right w:val="single" w:color="auto" w:sz="12" w:space="0"/>
            </w:tcBorders>
            <w:vAlign w:val="center"/>
          </w:tcPr>
          <w:p>
            <w:pPr>
              <w:adjustRightInd w:val="0"/>
              <w:snapToGrid w:val="0"/>
              <w:spacing w:line="240" w:lineRule="atLeast"/>
              <w:jc w:val="center"/>
              <w:rPr>
                <w:rFonts w:ascii="宋体" w:hAnsi="宋体" w:cs="宋体"/>
                <w:color w:val="auto"/>
                <w:kern w:val="0"/>
                <w:sz w:val="24"/>
              </w:rPr>
            </w:pPr>
            <w:r>
              <w:rPr>
                <w:rFonts w:hint="eastAsia" w:ascii="宋体" w:hAnsi="宋体" w:cs="宋体"/>
                <w:color w:val="auto"/>
                <w:kern w:val="0"/>
                <w:sz w:val="24"/>
              </w:rPr>
              <w:t>单位及数量</w:t>
            </w:r>
          </w:p>
        </w:tc>
        <w:tc>
          <w:tcPr>
            <w:tcW w:w="1680" w:type="dxa"/>
            <w:tcBorders>
              <w:top w:val="single" w:color="auto" w:sz="12" w:space="0"/>
              <w:left w:val="single" w:color="auto" w:sz="12" w:space="0"/>
              <w:bottom w:val="single" w:color="auto" w:sz="12" w:space="0"/>
              <w:right w:val="single" w:color="auto" w:sz="12" w:space="0"/>
            </w:tcBorders>
            <w:vAlign w:val="center"/>
          </w:tcPr>
          <w:p>
            <w:pPr>
              <w:adjustRightInd w:val="0"/>
              <w:snapToGrid w:val="0"/>
              <w:spacing w:line="240" w:lineRule="atLeast"/>
              <w:jc w:val="center"/>
              <w:rPr>
                <w:rFonts w:ascii="宋体" w:hAnsi="宋体" w:cs="宋体"/>
                <w:color w:val="auto"/>
                <w:kern w:val="0"/>
                <w:sz w:val="24"/>
              </w:rPr>
            </w:pPr>
            <w:r>
              <w:rPr>
                <w:rFonts w:hint="eastAsia" w:ascii="宋体" w:hAnsi="宋体" w:cs="宋体"/>
                <w:color w:val="auto"/>
                <w:kern w:val="0"/>
                <w:sz w:val="24"/>
              </w:rPr>
              <w:t>预算金额（元）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181" w:type="dxa"/>
            <w:tcBorders>
              <w:top w:val="single" w:color="auto" w:sz="12" w:space="0"/>
              <w:left w:val="single" w:color="auto" w:sz="12" w:space="0"/>
              <w:bottom w:val="single" w:color="auto" w:sz="12" w:space="0"/>
              <w:right w:val="single" w:color="auto" w:sz="12" w:space="0"/>
            </w:tcBorders>
            <w:vAlign w:val="center"/>
          </w:tcPr>
          <w:p>
            <w:pPr>
              <w:jc w:val="center"/>
              <w:rPr>
                <w:rFonts w:ascii="宋体" w:hAnsi="宋体" w:cs="宋体"/>
                <w:color w:val="auto"/>
                <w:kern w:val="0"/>
                <w:sz w:val="24"/>
              </w:rPr>
            </w:pPr>
            <w:r>
              <w:rPr>
                <w:rFonts w:hint="eastAsia" w:ascii="宋体" w:hAnsi="宋体" w:cs="宋体"/>
                <w:color w:val="auto"/>
                <w:kern w:val="0"/>
                <w:sz w:val="24"/>
              </w:rPr>
              <w:t>1</w:t>
            </w:r>
          </w:p>
        </w:tc>
        <w:tc>
          <w:tcPr>
            <w:tcW w:w="3360" w:type="dxa"/>
            <w:tcBorders>
              <w:top w:val="single" w:color="auto" w:sz="12" w:space="0"/>
              <w:left w:val="single" w:color="auto" w:sz="12" w:space="0"/>
              <w:bottom w:val="single" w:color="auto" w:sz="12" w:space="0"/>
              <w:right w:val="single" w:color="auto" w:sz="12" w:space="0"/>
            </w:tcBorders>
            <w:vAlign w:val="center"/>
          </w:tcPr>
          <w:p>
            <w:pPr>
              <w:jc w:val="center"/>
              <w:rPr>
                <w:rFonts w:ascii="宋体" w:hAnsi="宋体" w:cs="宋体"/>
                <w:color w:val="auto"/>
                <w:kern w:val="0"/>
                <w:sz w:val="24"/>
              </w:rPr>
            </w:pPr>
            <w:r>
              <w:rPr>
                <w:rFonts w:hint="eastAsia" w:ascii="Calibri" w:hAnsi="宋体" w:cs="宋体"/>
                <w:color w:val="auto"/>
                <w:kern w:val="0"/>
              </w:rPr>
              <w:t>实验室废弃物暂存柜系统</w:t>
            </w:r>
          </w:p>
        </w:tc>
        <w:tc>
          <w:tcPr>
            <w:tcW w:w="1690" w:type="dxa"/>
            <w:tcBorders>
              <w:top w:val="single" w:color="auto" w:sz="12" w:space="0"/>
              <w:left w:val="single" w:color="auto" w:sz="12" w:space="0"/>
              <w:bottom w:val="single" w:color="auto" w:sz="12" w:space="0"/>
              <w:right w:val="single" w:color="auto" w:sz="12" w:space="0"/>
            </w:tcBorders>
          </w:tcPr>
          <w:p>
            <w:pPr>
              <w:jc w:val="center"/>
              <w:rPr>
                <w:rFonts w:ascii="宋体" w:hAnsi="宋体" w:cs="宋体"/>
                <w:color w:val="auto"/>
                <w:kern w:val="0"/>
                <w:sz w:val="24"/>
              </w:rPr>
            </w:pPr>
            <w:r>
              <w:rPr>
                <w:rFonts w:hint="eastAsia" w:ascii="宋体" w:hAnsi="宋体" w:cs="宋体"/>
                <w:color w:val="auto"/>
                <w:kern w:val="0"/>
                <w:sz w:val="24"/>
              </w:rPr>
              <w:t>一套</w:t>
            </w:r>
          </w:p>
        </w:tc>
        <w:tc>
          <w:tcPr>
            <w:tcW w:w="1680" w:type="dxa"/>
            <w:tcBorders>
              <w:top w:val="single" w:color="auto" w:sz="12" w:space="0"/>
              <w:left w:val="single" w:color="auto" w:sz="12" w:space="0"/>
              <w:bottom w:val="single" w:color="auto" w:sz="12" w:space="0"/>
              <w:right w:val="single" w:color="auto" w:sz="12" w:space="0"/>
            </w:tcBorders>
          </w:tcPr>
          <w:p>
            <w:pPr>
              <w:jc w:val="center"/>
              <w:rPr>
                <w:rFonts w:ascii="宋体" w:hAnsi="宋体" w:cs="宋体"/>
                <w:color w:val="auto"/>
                <w:kern w:val="0"/>
                <w:sz w:val="24"/>
              </w:rPr>
            </w:pPr>
            <w:r>
              <w:rPr>
                <w:rFonts w:hint="eastAsia" w:ascii="宋体" w:hAnsi="宋体" w:cs="宋体"/>
                <w:color w:val="auto"/>
                <w:kern w:val="0"/>
                <w:sz w:val="24"/>
              </w:rPr>
              <w:t>40万</w:t>
            </w:r>
          </w:p>
        </w:tc>
      </w:tr>
    </w:tbl>
    <w:p>
      <w:pPr>
        <w:adjustRightInd w:val="0"/>
        <w:snapToGrid w:val="0"/>
        <w:spacing w:line="360" w:lineRule="auto"/>
        <w:rPr>
          <w:rFonts w:ascii="宋体" w:hAnsi="宋体" w:cs="宋体"/>
          <w:b/>
          <w:color w:val="auto"/>
          <w:kern w:val="0"/>
          <w:sz w:val="24"/>
        </w:rPr>
      </w:pPr>
    </w:p>
    <w:p>
      <w:pPr>
        <w:widowControl/>
        <w:numPr>
          <w:ilvl w:val="0"/>
          <w:numId w:val="4"/>
        </w:numPr>
        <w:spacing w:after="150" w:line="450" w:lineRule="atLeast"/>
        <w:jc w:val="left"/>
        <w:rPr>
          <w:rFonts w:ascii="宋体" w:hAnsi="宋体" w:cs="宋体"/>
          <w:color w:val="auto"/>
          <w:kern w:val="0"/>
          <w:sz w:val="24"/>
        </w:rPr>
      </w:pPr>
      <w:r>
        <w:rPr>
          <w:rFonts w:hint="eastAsia" w:ascii="宋体" w:hAnsi="宋体" w:cs="宋体"/>
          <w:b/>
          <w:color w:val="auto"/>
          <w:kern w:val="0"/>
          <w:sz w:val="24"/>
        </w:rPr>
        <w:t>投标供应商资格要求：</w:t>
      </w:r>
    </w:p>
    <w:p>
      <w:pPr>
        <w:widowControl/>
        <w:spacing w:after="150" w:line="450" w:lineRule="atLeast"/>
        <w:jc w:val="left"/>
        <w:rPr>
          <w:rFonts w:ascii="宋体" w:hAnsi="宋体" w:cs="宋体"/>
          <w:color w:val="auto"/>
          <w:kern w:val="0"/>
          <w:sz w:val="24"/>
        </w:rPr>
      </w:pPr>
      <w:r>
        <w:rPr>
          <w:rFonts w:hint="eastAsia" w:ascii="宋体" w:hAnsi="宋体" w:cs="宋体"/>
          <w:color w:val="auto"/>
          <w:kern w:val="0"/>
          <w:sz w:val="24"/>
        </w:rPr>
        <w:t xml:space="preserve">   1.供应商基本资格条件：</w:t>
      </w:r>
    </w:p>
    <w:p>
      <w:pPr>
        <w:widowControl/>
        <w:spacing w:after="150" w:line="400" w:lineRule="exact"/>
        <w:ind w:firstLine="480" w:firstLineChars="200"/>
        <w:jc w:val="left"/>
        <w:rPr>
          <w:rFonts w:ascii="宋体" w:hAnsi="宋体" w:cs="宋体"/>
          <w:color w:val="auto"/>
          <w:kern w:val="0"/>
          <w:sz w:val="24"/>
        </w:rPr>
      </w:pPr>
      <w:r>
        <w:rPr>
          <w:rFonts w:hint="eastAsia" w:ascii="宋体" w:hAnsi="宋体" w:cs="宋体"/>
          <w:color w:val="auto"/>
          <w:kern w:val="0"/>
          <w:sz w:val="24"/>
        </w:rPr>
        <w:t>（1）投标人法定代表人营业执照副本复印件；</w:t>
      </w:r>
    </w:p>
    <w:p>
      <w:pPr>
        <w:widowControl/>
        <w:spacing w:after="150" w:line="400" w:lineRule="exact"/>
        <w:ind w:firstLine="480" w:firstLineChars="200"/>
        <w:jc w:val="left"/>
        <w:rPr>
          <w:rFonts w:ascii="宋体" w:hAnsi="宋体" w:cs="宋体"/>
          <w:color w:val="auto"/>
          <w:kern w:val="0"/>
          <w:sz w:val="24"/>
        </w:rPr>
      </w:pPr>
      <w:r>
        <w:rPr>
          <w:rFonts w:hint="eastAsia" w:ascii="宋体" w:hAnsi="宋体" w:cs="宋体"/>
          <w:color w:val="auto"/>
          <w:kern w:val="0"/>
          <w:sz w:val="24"/>
        </w:rPr>
        <w:t>（2）法定代表人授权委托书原件及双方身份证复印件；</w:t>
      </w:r>
    </w:p>
    <w:p>
      <w:pPr>
        <w:widowControl/>
        <w:spacing w:after="150" w:line="400" w:lineRule="exact"/>
        <w:ind w:firstLine="480" w:firstLineChars="200"/>
        <w:jc w:val="left"/>
        <w:rPr>
          <w:rFonts w:ascii="宋体" w:hAnsi="宋体" w:cs="宋体"/>
          <w:color w:val="auto"/>
          <w:kern w:val="0"/>
          <w:sz w:val="24"/>
        </w:rPr>
      </w:pPr>
      <w:r>
        <w:rPr>
          <w:rFonts w:hint="eastAsia" w:ascii="宋体" w:hAnsi="宋体" w:cs="宋体"/>
          <w:color w:val="auto"/>
          <w:kern w:val="0"/>
          <w:sz w:val="24"/>
        </w:rPr>
        <w:t>（3）投标人近半年连续三个月纳税及缴纳社会保险的凭证复印件；</w:t>
      </w:r>
    </w:p>
    <w:p>
      <w:pPr>
        <w:widowControl/>
        <w:spacing w:after="150" w:line="400" w:lineRule="exact"/>
        <w:ind w:firstLine="480" w:firstLineChars="200"/>
        <w:jc w:val="left"/>
        <w:rPr>
          <w:rFonts w:ascii="宋体" w:hAnsi="宋体" w:cs="宋体"/>
          <w:color w:val="auto"/>
          <w:kern w:val="0"/>
          <w:sz w:val="24"/>
        </w:rPr>
      </w:pPr>
      <w:r>
        <w:rPr>
          <w:rFonts w:hint="eastAsia" w:ascii="宋体" w:hAnsi="宋体" w:cs="宋体"/>
          <w:color w:val="auto"/>
          <w:kern w:val="0"/>
          <w:sz w:val="24"/>
        </w:rPr>
        <w:t>（4）投标人参加本次采购活动前3年内没有重大违法记录的书面声明。</w:t>
      </w:r>
    </w:p>
    <w:p>
      <w:pPr>
        <w:widowControl/>
        <w:spacing w:before="75" w:line="420" w:lineRule="atLeast"/>
        <w:ind w:left="75" w:firstLine="300"/>
        <w:jc w:val="left"/>
        <w:rPr>
          <w:rFonts w:ascii="宋体" w:hAnsi="宋体" w:cs="宋体"/>
          <w:color w:val="auto"/>
          <w:kern w:val="0"/>
          <w:sz w:val="24"/>
        </w:rPr>
      </w:pPr>
      <w:r>
        <w:rPr>
          <w:rFonts w:hint="eastAsia" w:ascii="宋体" w:hAnsi="宋体" w:cs="宋体"/>
          <w:color w:val="auto"/>
          <w:kern w:val="0"/>
          <w:sz w:val="24"/>
        </w:rPr>
        <w:t>2.供应商特定资格条件：无</w:t>
      </w:r>
    </w:p>
    <w:p>
      <w:pPr>
        <w:widowControl/>
        <w:spacing w:before="75" w:line="420" w:lineRule="atLeast"/>
        <w:ind w:left="75" w:firstLine="300"/>
        <w:jc w:val="left"/>
        <w:rPr>
          <w:rFonts w:ascii="宋体" w:hAnsi="宋体" w:cs="宋体"/>
          <w:color w:val="auto"/>
          <w:kern w:val="0"/>
          <w:sz w:val="24"/>
        </w:rPr>
      </w:pPr>
    </w:p>
    <w:p>
      <w:pPr>
        <w:widowControl/>
        <w:spacing w:line="360" w:lineRule="auto"/>
        <w:jc w:val="left"/>
        <w:rPr>
          <w:rFonts w:ascii="宋体" w:hAnsi="宋体" w:cs="宋体"/>
          <w:b/>
          <w:color w:val="auto"/>
          <w:kern w:val="0"/>
          <w:sz w:val="24"/>
        </w:rPr>
      </w:pPr>
      <w:r>
        <w:rPr>
          <w:rFonts w:hint="eastAsia" w:ascii="宋体" w:hAnsi="宋体" w:cs="宋体"/>
          <w:b/>
          <w:color w:val="auto"/>
          <w:kern w:val="0"/>
          <w:sz w:val="24"/>
        </w:rPr>
        <w:t>四、获取标书时间、地点及注意事项</w:t>
      </w:r>
    </w:p>
    <w:p>
      <w:pPr>
        <w:widowControl/>
        <w:spacing w:line="360" w:lineRule="auto"/>
        <w:ind w:firstLine="360" w:firstLineChars="150"/>
        <w:jc w:val="left"/>
        <w:rPr>
          <w:rFonts w:ascii="宋体" w:hAnsi="宋体" w:cs="宋体"/>
          <w:color w:val="auto"/>
          <w:kern w:val="0"/>
          <w:sz w:val="24"/>
        </w:rPr>
      </w:pPr>
      <w:r>
        <w:rPr>
          <w:rFonts w:hint="eastAsia" w:ascii="宋体" w:hAnsi="宋体" w:cs="宋体"/>
          <w:color w:val="auto"/>
          <w:kern w:val="0"/>
          <w:sz w:val="24"/>
        </w:rPr>
        <w:t>1.报名时间：2018年10月26日至 2018年11月2日(8:30-11:30,15:00-17:00)北京时间、工作日；</w:t>
      </w:r>
    </w:p>
    <w:p>
      <w:pPr>
        <w:tabs>
          <w:tab w:val="left" w:pos="840"/>
        </w:tabs>
        <w:spacing w:line="384" w:lineRule="auto"/>
        <w:jc w:val="left"/>
        <w:rPr>
          <w:rFonts w:ascii="宋体" w:hAnsi="宋体" w:cs="宋体"/>
          <w:color w:val="auto"/>
          <w:kern w:val="0"/>
          <w:sz w:val="24"/>
        </w:rPr>
      </w:pPr>
      <w:r>
        <w:rPr>
          <w:rFonts w:hint="eastAsia" w:ascii="宋体" w:hAnsi="宋体" w:cs="宋体"/>
          <w:color w:val="auto"/>
          <w:kern w:val="0"/>
          <w:sz w:val="24"/>
        </w:rPr>
        <w:t xml:space="preserve">   2.报名地点：湖南工程学院主校区机械楼209室；</w:t>
      </w:r>
    </w:p>
    <w:p>
      <w:pPr>
        <w:widowControl/>
        <w:spacing w:line="360" w:lineRule="auto"/>
        <w:ind w:firstLine="360" w:firstLineChars="150"/>
        <w:jc w:val="left"/>
        <w:rPr>
          <w:rFonts w:ascii="宋体" w:hAnsi="宋体" w:cs="宋体"/>
          <w:color w:val="auto"/>
          <w:kern w:val="0"/>
          <w:sz w:val="24"/>
        </w:rPr>
      </w:pPr>
      <w:r>
        <w:rPr>
          <w:rFonts w:hint="eastAsia" w:ascii="宋体" w:hAnsi="宋体" w:cs="宋体"/>
          <w:color w:val="auto"/>
          <w:kern w:val="0"/>
          <w:sz w:val="24"/>
        </w:rPr>
        <w:t>3.报名时需提交的资料</w:t>
      </w:r>
      <w:r>
        <w:rPr>
          <w:rFonts w:hint="eastAsia" w:ascii="宋体" w:hAnsi="宋体" w:cs="宋体"/>
          <w:b/>
          <w:bCs/>
          <w:color w:val="auto"/>
          <w:kern w:val="0"/>
          <w:sz w:val="24"/>
        </w:rPr>
        <w:t>（详细格式见报名资料附件）</w:t>
      </w:r>
      <w:r>
        <w:rPr>
          <w:rFonts w:hint="eastAsia" w:ascii="宋体" w:hAnsi="宋体" w:cs="宋体"/>
          <w:color w:val="auto"/>
          <w:kern w:val="0"/>
          <w:sz w:val="24"/>
        </w:rPr>
        <w:t>：</w:t>
      </w:r>
    </w:p>
    <w:p>
      <w:pPr>
        <w:spacing w:line="360" w:lineRule="auto"/>
        <w:ind w:firstLine="360" w:firstLineChars="150"/>
        <w:rPr>
          <w:rFonts w:ascii="宋体" w:hAnsi="宋体" w:cs="宋体"/>
          <w:color w:val="auto"/>
          <w:kern w:val="0"/>
          <w:sz w:val="24"/>
        </w:rPr>
      </w:pPr>
      <w:r>
        <w:rPr>
          <w:rFonts w:hint="eastAsia" w:ascii="宋体" w:hAnsi="宋体" w:cs="宋体"/>
          <w:color w:val="auto"/>
          <w:kern w:val="0"/>
          <w:sz w:val="24"/>
        </w:rPr>
        <w:t>（1) 投标人本人身份证原件及复印件、营业执照原件及复印件；</w:t>
      </w:r>
    </w:p>
    <w:p>
      <w:pPr>
        <w:spacing w:line="360" w:lineRule="auto"/>
        <w:ind w:firstLine="480"/>
        <w:rPr>
          <w:rFonts w:ascii="宋体" w:hAnsi="宋体" w:cs="宋体"/>
          <w:color w:val="auto"/>
          <w:kern w:val="0"/>
          <w:sz w:val="24"/>
        </w:rPr>
      </w:pPr>
      <w:r>
        <w:rPr>
          <w:rFonts w:hint="eastAsia" w:ascii="宋体" w:hAnsi="宋体" w:cs="宋体"/>
          <w:color w:val="auto"/>
          <w:kern w:val="0"/>
          <w:sz w:val="24"/>
        </w:rPr>
        <w:t>(2) 如投标人不是法定代表人代表，须持有《授权委托书》及法定代表人身份证复印件（含投标人联系电话、QQ）；</w:t>
      </w:r>
    </w:p>
    <w:p>
      <w:pPr>
        <w:spacing w:line="360" w:lineRule="auto"/>
        <w:ind w:firstLine="360" w:firstLineChars="150"/>
        <w:rPr>
          <w:rFonts w:ascii="宋体" w:hAnsi="宋体" w:cs="宋体"/>
          <w:color w:val="auto"/>
          <w:kern w:val="0"/>
          <w:sz w:val="24"/>
        </w:rPr>
      </w:pPr>
      <w:r>
        <w:rPr>
          <w:rFonts w:hint="eastAsia" w:ascii="宋体" w:hAnsi="宋体" w:cs="宋体"/>
          <w:color w:val="auto"/>
          <w:kern w:val="0"/>
          <w:sz w:val="24"/>
        </w:rPr>
        <w:t>（3）其他相关证明材料；</w:t>
      </w:r>
    </w:p>
    <w:p>
      <w:pPr>
        <w:spacing w:line="360" w:lineRule="auto"/>
        <w:ind w:firstLine="480"/>
        <w:rPr>
          <w:rFonts w:ascii="宋体" w:hAnsi="宋体" w:cs="宋体"/>
          <w:color w:val="auto"/>
          <w:kern w:val="0"/>
          <w:sz w:val="24"/>
        </w:rPr>
      </w:pPr>
      <w:r>
        <w:rPr>
          <w:rFonts w:hint="eastAsia" w:ascii="宋体" w:hAnsi="宋体" w:cs="宋体"/>
          <w:color w:val="auto"/>
          <w:kern w:val="0"/>
          <w:sz w:val="24"/>
        </w:rPr>
        <w:t>(4) 以上所有资料需加盖企业公章。</w:t>
      </w:r>
    </w:p>
    <w:p>
      <w:pPr>
        <w:widowControl/>
        <w:spacing w:line="360" w:lineRule="auto"/>
        <w:ind w:firstLine="360" w:firstLineChars="150"/>
        <w:jc w:val="left"/>
        <w:rPr>
          <w:rFonts w:ascii="宋体" w:hAnsi="宋体" w:cs="宋体"/>
          <w:color w:val="auto"/>
          <w:kern w:val="0"/>
          <w:sz w:val="24"/>
        </w:rPr>
      </w:pPr>
      <w:r>
        <w:rPr>
          <w:rFonts w:hint="eastAsia" w:ascii="宋体" w:hAnsi="宋体" w:cs="宋体"/>
          <w:color w:val="auto"/>
          <w:kern w:val="0"/>
          <w:sz w:val="24"/>
        </w:rPr>
        <w:t xml:space="preserve"> 4.不受理电话、网上报名。</w:t>
      </w:r>
    </w:p>
    <w:p>
      <w:pPr>
        <w:tabs>
          <w:tab w:val="left" w:pos="1050"/>
        </w:tabs>
        <w:spacing w:line="384" w:lineRule="auto"/>
        <w:rPr>
          <w:rStyle w:val="40"/>
          <w:rFonts w:ascii="宋体" w:hAnsi="宋体" w:cs="宋体"/>
          <w:color w:val="auto"/>
          <w:sz w:val="24"/>
        </w:rPr>
      </w:pPr>
      <w:r>
        <w:rPr>
          <w:rFonts w:hint="eastAsia" w:ascii="宋体" w:hAnsi="宋体" w:cs="宋体"/>
          <w:color w:val="auto"/>
          <w:kern w:val="0"/>
          <w:sz w:val="24"/>
        </w:rPr>
        <w:t xml:space="preserve">    5.投标保证金：</w:t>
      </w:r>
    </w:p>
    <w:p>
      <w:pPr>
        <w:tabs>
          <w:tab w:val="left" w:pos="220"/>
        </w:tabs>
        <w:spacing w:line="400" w:lineRule="exact"/>
        <w:ind w:left="214" w:leftChars="102" w:firstLine="422" w:firstLineChars="176"/>
        <w:rPr>
          <w:rFonts w:ascii="宋体" w:hAnsi="宋体" w:cs="宋体"/>
          <w:color w:val="auto"/>
          <w:sz w:val="24"/>
        </w:rPr>
      </w:pPr>
      <w:r>
        <w:rPr>
          <w:rFonts w:hint="eastAsia" w:ascii="宋体" w:hAnsi="宋体" w:cs="宋体"/>
          <w:color w:val="auto"/>
          <w:sz w:val="24"/>
        </w:rPr>
        <w:t>投标保证金伍仟元，在2018年11月16日上午9:00前汇入湖南工程学院财务处，中标者签订合同后转为履约保证金，未中标者10个工作日无息退还。</w:t>
      </w:r>
    </w:p>
    <w:p>
      <w:pPr>
        <w:spacing w:line="384" w:lineRule="auto"/>
        <w:rPr>
          <w:rFonts w:ascii="宋体" w:hAnsi="宋体" w:cs="宋体"/>
          <w:color w:val="auto"/>
          <w:sz w:val="24"/>
          <w:u w:val="single"/>
        </w:rPr>
      </w:pPr>
      <w:r>
        <w:rPr>
          <w:rFonts w:hint="eastAsia" w:ascii="宋体" w:hAnsi="宋体" w:cs="宋体"/>
          <w:color w:val="auto"/>
          <w:sz w:val="24"/>
          <w:u w:val="single"/>
        </w:rPr>
        <w:t>银行户名：湖南工程学院，账号：1904031109026409320，</w:t>
      </w:r>
    </w:p>
    <w:p>
      <w:pPr>
        <w:spacing w:line="384" w:lineRule="auto"/>
        <w:rPr>
          <w:rFonts w:ascii="宋体" w:hAnsi="宋体" w:cs="宋体"/>
          <w:b/>
          <w:bCs/>
          <w:color w:val="auto"/>
          <w:sz w:val="24"/>
        </w:rPr>
      </w:pPr>
      <w:r>
        <w:rPr>
          <w:rFonts w:hint="eastAsia" w:ascii="宋体" w:hAnsi="宋体" w:cs="宋体"/>
          <w:color w:val="auto"/>
          <w:sz w:val="24"/>
          <w:u w:val="single"/>
        </w:rPr>
        <w:t>开户行：工商银行湘潭岳塘支行，请在附言栏注明：</w:t>
      </w:r>
      <w:r>
        <w:rPr>
          <w:rFonts w:hint="eastAsia" w:ascii="宋体" w:hAnsi="宋体" w:cs="宋体"/>
          <w:b/>
          <w:bCs/>
          <w:color w:val="auto"/>
          <w:sz w:val="24"/>
          <w:u w:val="single"/>
        </w:rPr>
        <w:t>投标保证金+单位或个人</w:t>
      </w:r>
    </w:p>
    <w:p>
      <w:pPr>
        <w:adjustRightInd w:val="0"/>
        <w:snapToGrid w:val="0"/>
        <w:spacing w:line="360" w:lineRule="auto"/>
        <w:ind w:firstLine="480" w:firstLineChars="200"/>
        <w:rPr>
          <w:rFonts w:ascii="宋体" w:hAnsi="宋体" w:cs="宋体"/>
          <w:color w:val="auto"/>
          <w:kern w:val="0"/>
          <w:sz w:val="24"/>
        </w:rPr>
      </w:pPr>
    </w:p>
    <w:p>
      <w:pPr>
        <w:widowControl/>
        <w:spacing w:line="360" w:lineRule="auto"/>
        <w:jc w:val="left"/>
        <w:rPr>
          <w:rFonts w:ascii="宋体" w:hAnsi="宋体" w:cs="宋体"/>
          <w:b/>
          <w:color w:val="auto"/>
          <w:kern w:val="0"/>
          <w:sz w:val="14"/>
          <w:szCs w:val="14"/>
        </w:rPr>
      </w:pPr>
      <w:r>
        <w:rPr>
          <w:rFonts w:hint="eastAsia" w:ascii="宋体" w:hAnsi="宋体" w:cs="宋体"/>
          <w:b/>
          <w:color w:val="auto"/>
          <w:kern w:val="0"/>
          <w:sz w:val="24"/>
        </w:rPr>
        <w:t>五、递交</w:t>
      </w:r>
      <w:bookmarkStart w:id="212" w:name="_GoBack"/>
      <w:bookmarkEnd w:id="212"/>
      <w:r>
        <w:rPr>
          <w:rFonts w:hint="eastAsia" w:ascii="宋体" w:hAnsi="宋体" w:cs="宋体"/>
          <w:b/>
          <w:color w:val="auto"/>
          <w:kern w:val="0"/>
          <w:sz w:val="24"/>
        </w:rPr>
        <w:t>投标文件时间、投标截止时间和开标时间及地点</w:t>
      </w:r>
    </w:p>
    <w:p>
      <w:pPr>
        <w:spacing w:line="384" w:lineRule="auto"/>
        <w:ind w:firstLine="420" w:firstLineChars="175"/>
        <w:rPr>
          <w:rFonts w:ascii="宋体" w:hAnsi="宋体" w:cs="宋体"/>
          <w:color w:val="auto"/>
          <w:sz w:val="24"/>
        </w:rPr>
      </w:pPr>
      <w:r>
        <w:rPr>
          <w:rFonts w:hint="eastAsia" w:ascii="宋体" w:hAnsi="宋体" w:cs="宋体"/>
          <w:color w:val="auto"/>
          <w:sz w:val="24"/>
        </w:rPr>
        <w:t>投标方须于以下指定时间和地点将投标文件送达招标单位指定工作人员，迟交的投标文件招标方</w:t>
      </w:r>
      <w:r>
        <w:rPr>
          <w:rFonts w:hint="eastAsia" w:ascii="宋体" w:hAnsi="宋体" w:cs="宋体"/>
          <w:b/>
          <w:bCs/>
          <w:color w:val="auto"/>
          <w:sz w:val="24"/>
        </w:rPr>
        <w:t>拒绝接收</w:t>
      </w:r>
      <w:r>
        <w:rPr>
          <w:rFonts w:hint="eastAsia" w:ascii="宋体" w:hAnsi="宋体" w:cs="宋体"/>
          <w:color w:val="auto"/>
          <w:sz w:val="24"/>
        </w:rPr>
        <w:t>：</w:t>
      </w:r>
    </w:p>
    <w:p>
      <w:pPr>
        <w:tabs>
          <w:tab w:val="left" w:pos="1050"/>
        </w:tabs>
        <w:spacing w:line="384" w:lineRule="auto"/>
        <w:rPr>
          <w:rFonts w:ascii="宋体" w:hAnsi="宋体" w:cs="宋体"/>
          <w:color w:val="auto"/>
          <w:sz w:val="24"/>
        </w:rPr>
      </w:pPr>
      <w:r>
        <w:rPr>
          <w:rFonts w:hint="eastAsia" w:ascii="宋体" w:hAnsi="宋体" w:cs="宋体"/>
          <w:color w:val="auto"/>
          <w:sz w:val="24"/>
        </w:rPr>
        <w:t>1.送达时间：2018年11月16日上午8：30～9：00时（北京时间）</w:t>
      </w:r>
    </w:p>
    <w:p>
      <w:pPr>
        <w:tabs>
          <w:tab w:val="left" w:pos="1050"/>
        </w:tabs>
        <w:spacing w:line="384" w:lineRule="auto"/>
        <w:rPr>
          <w:rFonts w:ascii="宋体" w:hAnsi="宋体" w:cs="宋体"/>
          <w:color w:val="auto"/>
          <w:sz w:val="24"/>
        </w:rPr>
      </w:pPr>
      <w:r>
        <w:rPr>
          <w:rFonts w:hint="eastAsia" w:ascii="宋体" w:hAnsi="宋体" w:cs="宋体"/>
          <w:color w:val="auto"/>
          <w:sz w:val="24"/>
        </w:rPr>
        <w:t>2.送达地点：湖南工程学院主校区机械楼311号</w:t>
      </w:r>
    </w:p>
    <w:p>
      <w:pPr>
        <w:spacing w:line="384" w:lineRule="auto"/>
        <w:rPr>
          <w:rFonts w:ascii="宋体" w:hAnsi="宋体" w:cs="宋体"/>
          <w:color w:val="auto"/>
          <w:sz w:val="24"/>
        </w:rPr>
      </w:pPr>
      <w:r>
        <w:rPr>
          <w:rFonts w:hint="eastAsia" w:ascii="宋体" w:hAnsi="宋体" w:cs="宋体"/>
          <w:color w:val="auto"/>
          <w:sz w:val="24"/>
        </w:rPr>
        <w:t>3.投标截止时间：2018年11月16日上午9：00时（北京时间）</w:t>
      </w:r>
    </w:p>
    <w:p>
      <w:pPr>
        <w:spacing w:line="384" w:lineRule="auto"/>
        <w:rPr>
          <w:rFonts w:ascii="宋体" w:hAnsi="宋体" w:cs="宋体"/>
          <w:color w:val="auto"/>
          <w:sz w:val="24"/>
        </w:rPr>
      </w:pPr>
      <w:r>
        <w:rPr>
          <w:rFonts w:hint="eastAsia" w:ascii="宋体" w:hAnsi="宋体" w:cs="宋体"/>
          <w:color w:val="auto"/>
          <w:sz w:val="24"/>
        </w:rPr>
        <w:t>4.开标时间: 2018年11月16日上午9：00时（北京时间）</w:t>
      </w:r>
    </w:p>
    <w:p>
      <w:pPr>
        <w:spacing w:line="384" w:lineRule="auto"/>
        <w:rPr>
          <w:rFonts w:ascii="宋体" w:hAnsi="宋体" w:cs="宋体"/>
          <w:color w:val="auto"/>
          <w:sz w:val="24"/>
        </w:rPr>
      </w:pPr>
      <w:r>
        <w:rPr>
          <w:rFonts w:hint="eastAsia" w:ascii="宋体" w:hAnsi="宋体" w:cs="宋体"/>
          <w:color w:val="auto"/>
          <w:sz w:val="24"/>
        </w:rPr>
        <w:t>5.开标地点: 湖南工程学院主校区机械楼311号</w:t>
      </w:r>
    </w:p>
    <w:p>
      <w:pPr>
        <w:spacing w:line="384" w:lineRule="auto"/>
        <w:rPr>
          <w:rFonts w:ascii="宋体" w:hAnsi="宋体" w:cs="宋体"/>
          <w:b/>
          <w:color w:val="auto"/>
          <w:sz w:val="24"/>
        </w:rPr>
      </w:pPr>
      <w:r>
        <w:rPr>
          <w:rFonts w:hint="eastAsia" w:ascii="宋体" w:hAnsi="宋体" w:cs="宋体"/>
          <w:b/>
          <w:color w:val="auto"/>
          <w:sz w:val="24"/>
        </w:rPr>
        <w:t>六、招标方联系方式：</w:t>
      </w:r>
    </w:p>
    <w:p>
      <w:pPr>
        <w:spacing w:line="384" w:lineRule="auto"/>
        <w:rPr>
          <w:rFonts w:ascii="宋体" w:hAnsi="宋体" w:cs="宋体"/>
          <w:color w:val="auto"/>
          <w:sz w:val="24"/>
        </w:rPr>
      </w:pPr>
      <w:r>
        <w:rPr>
          <w:rFonts w:hint="eastAsia" w:ascii="宋体" w:hAnsi="宋体" w:cs="宋体"/>
          <w:color w:val="auto"/>
          <w:sz w:val="24"/>
        </w:rPr>
        <w:t xml:space="preserve">联 系 人：蒋老师    </w:t>
      </w:r>
    </w:p>
    <w:p>
      <w:pPr>
        <w:spacing w:line="384" w:lineRule="auto"/>
        <w:rPr>
          <w:rFonts w:ascii="宋体" w:hAnsi="宋体" w:cs="宋体"/>
          <w:color w:val="auto"/>
          <w:sz w:val="24"/>
        </w:rPr>
      </w:pPr>
      <w:r>
        <w:rPr>
          <w:rFonts w:hint="eastAsia" w:ascii="宋体" w:hAnsi="宋体" w:cs="宋体"/>
          <w:color w:val="auto"/>
          <w:sz w:val="24"/>
        </w:rPr>
        <w:t xml:space="preserve">办公电话：0731-58683362     </w:t>
      </w:r>
    </w:p>
    <w:p>
      <w:pPr>
        <w:spacing w:line="384" w:lineRule="auto"/>
        <w:rPr>
          <w:rFonts w:ascii="宋体" w:hAnsi="宋体" w:cs="宋体"/>
          <w:color w:val="auto"/>
          <w:sz w:val="24"/>
        </w:rPr>
      </w:pPr>
      <w:r>
        <w:rPr>
          <w:rFonts w:hint="eastAsia" w:ascii="宋体" w:hAnsi="宋体" w:cs="宋体"/>
          <w:color w:val="auto"/>
          <w:sz w:val="24"/>
        </w:rPr>
        <w:t>办公地址：湖南工程学院主校区机械楼209室</w:t>
      </w:r>
    </w:p>
    <w:p>
      <w:pPr>
        <w:spacing w:line="384" w:lineRule="auto"/>
        <w:rPr>
          <w:rFonts w:ascii="宋体" w:hAnsi="宋体" w:cs="宋体"/>
          <w:color w:val="auto"/>
          <w:sz w:val="24"/>
        </w:rPr>
      </w:pPr>
      <w:r>
        <w:rPr>
          <w:rFonts w:hint="eastAsia" w:ascii="宋体" w:hAnsi="宋体" w:cs="宋体"/>
          <w:color w:val="auto"/>
          <w:sz w:val="24"/>
        </w:rPr>
        <w:t>学校地址：湖南省湘潭市岳塘区福星中路88号</w:t>
      </w:r>
    </w:p>
    <w:p>
      <w:pPr>
        <w:spacing w:line="384" w:lineRule="auto"/>
        <w:rPr>
          <w:rFonts w:ascii="宋体" w:hAnsi="宋体" w:cs="宋体"/>
          <w:color w:val="auto"/>
          <w:sz w:val="24"/>
        </w:rPr>
      </w:pPr>
    </w:p>
    <w:p>
      <w:pPr>
        <w:spacing w:line="384" w:lineRule="auto"/>
        <w:rPr>
          <w:rFonts w:ascii="宋体" w:hAnsi="宋体" w:cs="宋体"/>
          <w:b/>
          <w:color w:val="auto"/>
          <w:sz w:val="24"/>
        </w:rPr>
      </w:pPr>
      <w:r>
        <w:rPr>
          <w:rFonts w:hint="eastAsia" w:ascii="宋体" w:hAnsi="宋体" w:cs="宋体"/>
          <w:b/>
          <w:color w:val="auto"/>
          <w:sz w:val="24"/>
        </w:rPr>
        <w:t>七、送货地点、时间：</w:t>
      </w:r>
    </w:p>
    <w:p>
      <w:pPr>
        <w:spacing w:line="384" w:lineRule="auto"/>
        <w:rPr>
          <w:rFonts w:ascii="宋体" w:hAnsi="宋体" w:cs="宋体"/>
          <w:color w:val="auto"/>
          <w:sz w:val="24"/>
        </w:rPr>
      </w:pPr>
      <w:r>
        <w:rPr>
          <w:rFonts w:hint="eastAsia" w:ascii="宋体" w:hAnsi="宋体" w:cs="宋体"/>
          <w:color w:val="auto"/>
          <w:sz w:val="24"/>
        </w:rPr>
        <w:t>送货地点：湖南工程学院</w:t>
      </w:r>
      <w:r>
        <w:rPr>
          <w:rFonts w:hint="eastAsia" w:ascii="宋体" w:hAnsi="宋体" w:cs="宋体"/>
          <w:color w:val="auto"/>
          <w:sz w:val="24"/>
          <w:u w:val="single"/>
        </w:rPr>
        <w:t>校内指定地点</w:t>
      </w:r>
      <w:r>
        <w:rPr>
          <w:rFonts w:hint="eastAsia" w:ascii="宋体" w:hAnsi="宋体" w:cs="宋体"/>
          <w:color w:val="auto"/>
          <w:sz w:val="24"/>
        </w:rPr>
        <w:t>；</w:t>
      </w:r>
    </w:p>
    <w:p>
      <w:pPr>
        <w:spacing w:line="384" w:lineRule="auto"/>
        <w:rPr>
          <w:rFonts w:ascii="宋体" w:hAnsi="宋体"/>
          <w:color w:val="auto"/>
          <w:szCs w:val="21"/>
        </w:rPr>
      </w:pPr>
      <w:r>
        <w:rPr>
          <w:rFonts w:hint="eastAsia" w:ascii="宋体" w:hAnsi="宋体" w:cs="宋体"/>
          <w:color w:val="auto"/>
          <w:sz w:val="24"/>
        </w:rPr>
        <w:t>送货时间：合同协议时间。</w:t>
      </w:r>
    </w:p>
    <w:p>
      <w:pPr>
        <w:spacing w:line="400" w:lineRule="atLeast"/>
        <w:ind w:firstLine="308" w:firstLineChars="147"/>
        <w:rPr>
          <w:rFonts w:ascii="宋体" w:hAnsi="宋体"/>
          <w:color w:val="auto"/>
          <w:szCs w:val="21"/>
        </w:rPr>
      </w:pPr>
    </w:p>
    <w:p>
      <w:pPr>
        <w:spacing w:line="400" w:lineRule="atLeast"/>
        <w:rPr>
          <w:rFonts w:ascii="宋体" w:hAnsi="宋体"/>
          <w:color w:val="auto"/>
          <w:szCs w:val="21"/>
        </w:rPr>
        <w:sectPr>
          <w:headerReference r:id="rId7" w:type="default"/>
          <w:headerReference r:id="rId8" w:type="even"/>
          <w:pgSz w:w="11906" w:h="16838"/>
          <w:pgMar w:top="907" w:right="1588" w:bottom="1219" w:left="1588" w:header="567" w:footer="454" w:gutter="0"/>
          <w:paperSrc w:first="1" w:other="1"/>
          <w:cols w:space="720" w:num="1"/>
          <w:docGrid w:linePitch="312" w:charSpace="0"/>
        </w:sectPr>
      </w:pPr>
    </w:p>
    <w:p>
      <w:pPr>
        <w:pStyle w:val="2"/>
        <w:adjustRightInd/>
        <w:spacing w:line="240" w:lineRule="auto"/>
        <w:ind w:left="113"/>
        <w:jc w:val="center"/>
        <w:textAlignment w:val="auto"/>
        <w:rPr>
          <w:rFonts w:ascii="宋体" w:hAnsi="宋体"/>
          <w:color w:val="auto"/>
        </w:rPr>
      </w:pPr>
      <w:r>
        <w:rPr>
          <w:rFonts w:hint="eastAsia" w:ascii="宋体" w:hAnsi="宋体"/>
          <w:color w:val="auto"/>
        </w:rPr>
        <w:t>第二章 投标人须知</w:t>
      </w:r>
      <w:bookmarkEnd w:id="0"/>
      <w:bookmarkEnd w:id="1"/>
      <w:bookmarkEnd w:id="2"/>
      <w:bookmarkEnd w:id="3"/>
      <w:bookmarkEnd w:id="4"/>
      <w:bookmarkEnd w:id="5"/>
    </w:p>
    <w:p>
      <w:pPr>
        <w:pStyle w:val="3"/>
        <w:numPr>
          <w:ilvl w:val="0"/>
          <w:numId w:val="5"/>
        </w:numPr>
        <w:adjustRightInd/>
        <w:spacing w:beforeLines="150" w:afterLines="50" w:line="240" w:lineRule="auto"/>
        <w:jc w:val="center"/>
        <w:textAlignment w:val="auto"/>
        <w:rPr>
          <w:rFonts w:ascii="宋体" w:hAnsi="宋体" w:eastAsia="宋体"/>
          <w:color w:val="auto"/>
          <w:sz w:val="30"/>
          <w:szCs w:val="30"/>
        </w:rPr>
      </w:pPr>
      <w:bookmarkStart w:id="6" w:name="_Toc384934432"/>
      <w:bookmarkStart w:id="7" w:name="_Toc261206943"/>
      <w:bookmarkStart w:id="8" w:name="_Toc193643680"/>
      <w:bookmarkStart w:id="9" w:name="_Toc121805652"/>
      <w:r>
        <w:rPr>
          <w:rFonts w:hint="eastAsia" w:ascii="宋体" w:hAnsi="宋体" w:eastAsia="宋体"/>
          <w:color w:val="auto"/>
          <w:sz w:val="30"/>
          <w:szCs w:val="30"/>
        </w:rPr>
        <w:t>说明</w:t>
      </w:r>
      <w:bookmarkEnd w:id="6"/>
      <w:bookmarkEnd w:id="7"/>
      <w:bookmarkEnd w:id="8"/>
      <w:bookmarkEnd w:id="9"/>
    </w:p>
    <w:p>
      <w:pPr>
        <w:pStyle w:val="4"/>
        <w:numPr>
          <w:ilvl w:val="0"/>
          <w:numId w:val="6"/>
        </w:numPr>
        <w:adjustRightInd/>
        <w:spacing w:beforeLines="100" w:after="0" w:line="360" w:lineRule="exact"/>
        <w:textAlignment w:val="auto"/>
        <w:rPr>
          <w:rFonts w:ascii="宋体" w:hAnsi="宋体"/>
          <w:color w:val="auto"/>
          <w:sz w:val="24"/>
        </w:rPr>
      </w:pPr>
      <w:bookmarkStart w:id="10" w:name="_Toc134155406"/>
      <w:bookmarkStart w:id="11" w:name="_Toc261206944"/>
      <w:bookmarkStart w:id="12" w:name="_Toc193643681"/>
      <w:bookmarkStart w:id="13" w:name="_Toc103569361"/>
      <w:bookmarkStart w:id="14" w:name="_Toc384934433"/>
      <w:r>
        <w:rPr>
          <w:rFonts w:hint="eastAsia" w:ascii="宋体" w:hAnsi="宋体"/>
          <w:color w:val="auto"/>
          <w:sz w:val="24"/>
        </w:rPr>
        <w:t>适用范围</w:t>
      </w:r>
      <w:bookmarkEnd w:id="10"/>
      <w:bookmarkEnd w:id="11"/>
      <w:bookmarkEnd w:id="12"/>
      <w:bookmarkEnd w:id="13"/>
      <w:bookmarkEnd w:id="14"/>
    </w:p>
    <w:p>
      <w:pPr>
        <w:numPr>
          <w:ilvl w:val="1"/>
          <w:numId w:val="7"/>
        </w:numPr>
        <w:spacing w:beforeLines="50" w:afterLines="50" w:line="360" w:lineRule="exact"/>
        <w:rPr>
          <w:rFonts w:ascii="宋体" w:hAnsi="宋体"/>
          <w:color w:val="auto"/>
          <w:szCs w:val="21"/>
        </w:rPr>
      </w:pPr>
      <w:r>
        <w:rPr>
          <w:rFonts w:hint="eastAsia" w:ascii="宋体" w:hAnsi="宋体"/>
          <w:color w:val="auto"/>
          <w:szCs w:val="21"/>
        </w:rPr>
        <w:t>本招标文件仅适用于本投标邀请中所叙述的采购项目。</w:t>
      </w:r>
    </w:p>
    <w:p>
      <w:pPr>
        <w:pStyle w:val="4"/>
        <w:numPr>
          <w:ilvl w:val="0"/>
          <w:numId w:val="6"/>
        </w:numPr>
        <w:adjustRightInd/>
        <w:spacing w:beforeLines="100" w:after="0" w:line="360" w:lineRule="exact"/>
        <w:textAlignment w:val="auto"/>
        <w:rPr>
          <w:rFonts w:ascii="宋体" w:hAnsi="宋体"/>
          <w:color w:val="auto"/>
          <w:sz w:val="24"/>
        </w:rPr>
      </w:pPr>
      <w:bookmarkStart w:id="15" w:name="_Toc193643682"/>
      <w:bookmarkStart w:id="16" w:name="_Toc103569362"/>
      <w:bookmarkStart w:id="17" w:name="_Toc134155407"/>
      <w:bookmarkStart w:id="18" w:name="_Toc261206945"/>
      <w:r>
        <w:rPr>
          <w:rFonts w:hint="eastAsia" w:ascii="宋体" w:hAnsi="宋体"/>
          <w:color w:val="auto"/>
          <w:sz w:val="24"/>
        </w:rPr>
        <w:tab/>
      </w:r>
      <w:bookmarkStart w:id="19" w:name="_Toc384934434"/>
      <w:r>
        <w:rPr>
          <w:rFonts w:hint="eastAsia" w:ascii="宋体" w:hAnsi="宋体"/>
          <w:color w:val="auto"/>
          <w:sz w:val="24"/>
        </w:rPr>
        <w:t>定义</w:t>
      </w:r>
      <w:bookmarkEnd w:id="15"/>
      <w:bookmarkEnd w:id="16"/>
      <w:bookmarkEnd w:id="17"/>
      <w:bookmarkEnd w:id="18"/>
      <w:bookmarkEnd w:id="19"/>
    </w:p>
    <w:p>
      <w:pPr>
        <w:numPr>
          <w:ilvl w:val="1"/>
          <w:numId w:val="8"/>
        </w:numPr>
        <w:spacing w:beforeLines="50" w:line="320" w:lineRule="exact"/>
        <w:rPr>
          <w:rFonts w:ascii="宋体" w:hAnsi="宋体"/>
          <w:color w:val="auto"/>
          <w:szCs w:val="21"/>
        </w:rPr>
      </w:pPr>
      <w:r>
        <w:rPr>
          <w:rFonts w:hint="eastAsia" w:ascii="宋体" w:hAnsi="宋体"/>
          <w:color w:val="auto"/>
          <w:szCs w:val="21"/>
        </w:rPr>
        <w:tab/>
      </w:r>
      <w:r>
        <w:rPr>
          <w:rFonts w:hint="eastAsia" w:ascii="宋体" w:hAnsi="宋体"/>
          <w:color w:val="auto"/>
          <w:szCs w:val="21"/>
        </w:rPr>
        <w:t>采购人： 湖南工程学院</w:t>
      </w:r>
    </w:p>
    <w:p>
      <w:pPr>
        <w:numPr>
          <w:ilvl w:val="1"/>
          <w:numId w:val="8"/>
        </w:numPr>
        <w:spacing w:beforeLines="50" w:line="320" w:lineRule="exact"/>
        <w:rPr>
          <w:rFonts w:ascii="宋体" w:hAnsi="宋体"/>
          <w:color w:val="auto"/>
          <w:szCs w:val="21"/>
        </w:rPr>
      </w:pPr>
      <w:r>
        <w:rPr>
          <w:rFonts w:hint="eastAsia" w:ascii="宋体" w:hAnsi="宋体"/>
          <w:color w:val="auto"/>
          <w:szCs w:val="21"/>
        </w:rPr>
        <w:tab/>
      </w:r>
      <w:r>
        <w:rPr>
          <w:rFonts w:hint="eastAsia" w:ascii="宋体" w:hAnsi="宋体"/>
          <w:color w:val="auto"/>
          <w:szCs w:val="21"/>
        </w:rPr>
        <w:t>招标人： 湖南工程学院</w:t>
      </w:r>
    </w:p>
    <w:p>
      <w:pPr>
        <w:numPr>
          <w:ilvl w:val="1"/>
          <w:numId w:val="8"/>
        </w:numPr>
        <w:spacing w:beforeLines="50" w:line="320" w:lineRule="exact"/>
        <w:rPr>
          <w:rFonts w:ascii="宋体" w:hAnsi="宋体"/>
          <w:color w:val="auto"/>
          <w:szCs w:val="21"/>
        </w:rPr>
      </w:pPr>
      <w:r>
        <w:rPr>
          <w:rFonts w:hint="eastAsia" w:ascii="宋体" w:hAnsi="宋体"/>
          <w:color w:val="auto"/>
          <w:szCs w:val="21"/>
        </w:rPr>
        <w:tab/>
      </w:r>
      <w:r>
        <w:rPr>
          <w:rFonts w:hint="eastAsia" w:ascii="宋体" w:hAnsi="宋体"/>
          <w:color w:val="auto"/>
          <w:szCs w:val="21"/>
        </w:rPr>
        <w:t>投标人： 无条件接受招标文件的要求，向采购人提供货物、工程或者服务的法定代表人、其他组织或者自然人。</w:t>
      </w:r>
    </w:p>
    <w:p>
      <w:pPr>
        <w:numPr>
          <w:ilvl w:val="1"/>
          <w:numId w:val="8"/>
        </w:numPr>
        <w:spacing w:beforeLines="50" w:line="320" w:lineRule="exact"/>
        <w:rPr>
          <w:rFonts w:ascii="宋体" w:hAnsi="宋体"/>
          <w:color w:val="auto"/>
          <w:szCs w:val="21"/>
        </w:rPr>
      </w:pPr>
      <w:r>
        <w:rPr>
          <w:rFonts w:hint="eastAsia" w:ascii="宋体" w:hAnsi="宋体"/>
          <w:color w:val="auto"/>
          <w:szCs w:val="21"/>
        </w:rPr>
        <w:tab/>
      </w:r>
      <w:r>
        <w:rPr>
          <w:rFonts w:hint="eastAsia" w:ascii="宋体" w:hAnsi="宋体"/>
          <w:color w:val="auto"/>
          <w:szCs w:val="21"/>
        </w:rPr>
        <w:t>货  物： 指投标人按招标文件要求，向采购人提供的各种形态和种类的物品，包括原材</w:t>
      </w:r>
    </w:p>
    <w:p>
      <w:pPr>
        <w:spacing w:line="320" w:lineRule="exact"/>
        <w:ind w:firstLine="1575" w:firstLineChars="750"/>
        <w:rPr>
          <w:rFonts w:ascii="宋体" w:hAnsi="宋体"/>
          <w:color w:val="auto"/>
          <w:szCs w:val="21"/>
        </w:rPr>
      </w:pPr>
      <w:r>
        <w:rPr>
          <w:rFonts w:hint="eastAsia" w:ascii="宋体" w:hAnsi="宋体"/>
          <w:color w:val="auto"/>
          <w:szCs w:val="21"/>
        </w:rPr>
        <w:t>料、产品及相关的手册及其它技术资料。</w:t>
      </w:r>
    </w:p>
    <w:p>
      <w:pPr>
        <w:numPr>
          <w:ilvl w:val="1"/>
          <w:numId w:val="8"/>
        </w:numPr>
        <w:spacing w:beforeLines="50" w:line="320" w:lineRule="exact"/>
        <w:rPr>
          <w:rFonts w:ascii="宋体" w:hAnsi="宋体"/>
          <w:color w:val="auto"/>
          <w:szCs w:val="21"/>
        </w:rPr>
      </w:pPr>
      <w:r>
        <w:rPr>
          <w:rFonts w:hint="eastAsia" w:ascii="宋体" w:hAnsi="宋体"/>
          <w:color w:val="auto"/>
          <w:szCs w:val="21"/>
        </w:rPr>
        <w:tab/>
      </w:r>
      <w:r>
        <w:rPr>
          <w:rFonts w:hint="eastAsia" w:ascii="宋体" w:hAnsi="宋体"/>
          <w:color w:val="auto"/>
          <w:szCs w:val="21"/>
        </w:rPr>
        <w:t xml:space="preserve">服  务： 指投标人提供的与相关货物有关的运输、安装、调试、技术协助、培训、维修    </w:t>
      </w:r>
    </w:p>
    <w:p>
      <w:pPr>
        <w:spacing w:line="320" w:lineRule="exact"/>
        <w:ind w:firstLine="1619" w:firstLineChars="771"/>
        <w:rPr>
          <w:rFonts w:ascii="宋体" w:hAnsi="宋体"/>
          <w:color w:val="auto"/>
          <w:szCs w:val="21"/>
        </w:rPr>
      </w:pPr>
      <w:r>
        <w:rPr>
          <w:rFonts w:hint="eastAsia" w:ascii="宋体" w:hAnsi="宋体"/>
          <w:color w:val="auto"/>
          <w:szCs w:val="21"/>
        </w:rPr>
        <w:t>等其他类似的义务。</w:t>
      </w:r>
    </w:p>
    <w:p>
      <w:pPr>
        <w:pStyle w:val="4"/>
        <w:numPr>
          <w:ilvl w:val="0"/>
          <w:numId w:val="6"/>
        </w:numPr>
        <w:adjustRightInd/>
        <w:spacing w:beforeLines="100" w:after="0" w:line="360" w:lineRule="exact"/>
        <w:textAlignment w:val="auto"/>
        <w:rPr>
          <w:rFonts w:ascii="宋体" w:hAnsi="宋体"/>
          <w:color w:val="auto"/>
          <w:sz w:val="24"/>
        </w:rPr>
      </w:pPr>
      <w:bookmarkStart w:id="20" w:name="_Toc134155408"/>
      <w:bookmarkStart w:id="21" w:name="_Toc261206946"/>
      <w:bookmarkStart w:id="22" w:name="_Toc103569363"/>
      <w:bookmarkStart w:id="23" w:name="_Toc193643683"/>
      <w:r>
        <w:rPr>
          <w:rFonts w:hint="eastAsia" w:ascii="宋体" w:hAnsi="宋体"/>
          <w:color w:val="auto"/>
          <w:sz w:val="24"/>
        </w:rPr>
        <w:tab/>
      </w:r>
      <w:bookmarkStart w:id="24" w:name="_Toc384934435"/>
      <w:r>
        <w:rPr>
          <w:rFonts w:hint="eastAsia" w:ascii="宋体" w:hAnsi="宋体"/>
          <w:color w:val="auto"/>
          <w:sz w:val="24"/>
        </w:rPr>
        <w:t>合格投标人的范围</w:t>
      </w:r>
      <w:bookmarkEnd w:id="20"/>
      <w:bookmarkEnd w:id="21"/>
      <w:bookmarkEnd w:id="22"/>
      <w:bookmarkEnd w:id="23"/>
      <w:bookmarkEnd w:id="24"/>
    </w:p>
    <w:p>
      <w:pPr>
        <w:pStyle w:val="18"/>
        <w:adjustRightInd w:val="0"/>
        <w:snapToGrid w:val="0"/>
        <w:spacing w:beforeLines="50" w:afterLines="50" w:line="320" w:lineRule="exact"/>
        <w:ind w:left="835" w:leftChars="300" w:hanging="205" w:hangingChars="98"/>
        <w:rPr>
          <w:rFonts w:ascii="宋体" w:hAnsi="宋体"/>
          <w:bCs/>
          <w:color w:val="auto"/>
          <w:sz w:val="21"/>
          <w:szCs w:val="21"/>
        </w:rPr>
      </w:pPr>
      <w:r>
        <w:rPr>
          <w:rFonts w:hint="eastAsia" w:ascii="宋体" w:hAnsi="宋体"/>
          <w:bCs/>
          <w:color w:val="auto"/>
          <w:sz w:val="21"/>
          <w:szCs w:val="21"/>
        </w:rPr>
        <w:t>符合《中华人民共和国政府采购法》第二十二条的有关规定。还应具备：</w:t>
      </w:r>
    </w:p>
    <w:p>
      <w:pPr>
        <w:numPr>
          <w:ilvl w:val="1"/>
          <w:numId w:val="9"/>
        </w:numPr>
        <w:spacing w:beforeLines="50" w:line="320" w:lineRule="exact"/>
        <w:rPr>
          <w:rFonts w:ascii="宋体" w:hAnsi="宋体"/>
          <w:color w:val="auto"/>
          <w:szCs w:val="21"/>
        </w:rPr>
      </w:pPr>
      <w:r>
        <w:rPr>
          <w:rFonts w:hint="eastAsia" w:ascii="宋体" w:hAnsi="宋体"/>
          <w:color w:val="auto"/>
          <w:szCs w:val="21"/>
        </w:rPr>
        <w:tab/>
      </w:r>
      <w:r>
        <w:rPr>
          <w:rFonts w:hint="eastAsia" w:ascii="宋体" w:hAnsi="宋体"/>
          <w:color w:val="auto"/>
          <w:szCs w:val="21"/>
        </w:rPr>
        <w:t>投标人为中华人民共和国境内的企业法定代表人或其它组织；</w:t>
      </w:r>
    </w:p>
    <w:p>
      <w:pPr>
        <w:pStyle w:val="18"/>
        <w:numPr>
          <w:ilvl w:val="1"/>
          <w:numId w:val="9"/>
        </w:numPr>
        <w:adjustRightInd w:val="0"/>
        <w:snapToGrid w:val="0"/>
        <w:spacing w:beforeLines="50" w:afterLines="50" w:line="320" w:lineRule="exact"/>
        <w:rPr>
          <w:rFonts w:ascii="宋体" w:hAnsi="宋体"/>
          <w:bCs/>
          <w:color w:val="auto"/>
          <w:sz w:val="21"/>
          <w:szCs w:val="21"/>
        </w:rPr>
      </w:pPr>
      <w:r>
        <w:rPr>
          <w:rFonts w:hint="eastAsia" w:ascii="宋体" w:hAnsi="宋体"/>
          <w:bCs/>
          <w:color w:val="auto"/>
          <w:sz w:val="21"/>
          <w:szCs w:val="21"/>
        </w:rPr>
        <w:t>须提供：</w:t>
      </w:r>
    </w:p>
    <w:p>
      <w:pPr>
        <w:numPr>
          <w:ilvl w:val="0"/>
          <w:numId w:val="10"/>
        </w:numPr>
        <w:snapToGrid w:val="0"/>
        <w:spacing w:beforeLines="50" w:line="280" w:lineRule="exact"/>
        <w:ind w:hanging="84"/>
        <w:rPr>
          <w:rFonts w:ascii="宋体" w:hAnsi="宋体"/>
          <w:bCs/>
          <w:color w:val="auto"/>
          <w:szCs w:val="21"/>
        </w:rPr>
      </w:pPr>
      <w:r>
        <w:rPr>
          <w:rFonts w:hint="eastAsia" w:ascii="宋体" w:hAnsi="宋体"/>
          <w:color w:val="auto"/>
        </w:rPr>
        <w:t>投标人纳税及缴纳社会保险的凭证复印件</w:t>
      </w:r>
      <w:r>
        <w:rPr>
          <w:rFonts w:hint="eastAsia" w:ascii="宋体" w:hAnsi="宋体"/>
          <w:bCs/>
          <w:color w:val="auto"/>
          <w:szCs w:val="21"/>
        </w:rPr>
        <w:t>；</w:t>
      </w:r>
    </w:p>
    <w:p>
      <w:pPr>
        <w:numPr>
          <w:ilvl w:val="0"/>
          <w:numId w:val="10"/>
        </w:numPr>
        <w:snapToGrid w:val="0"/>
        <w:spacing w:beforeLines="50" w:line="280" w:lineRule="exact"/>
        <w:ind w:hanging="84"/>
        <w:rPr>
          <w:rFonts w:ascii="宋体" w:hAnsi="宋体"/>
          <w:bCs/>
          <w:color w:val="auto"/>
          <w:szCs w:val="21"/>
        </w:rPr>
      </w:pPr>
      <w:r>
        <w:rPr>
          <w:rFonts w:hint="eastAsia" w:ascii="宋体" w:hAnsi="宋体"/>
          <w:bCs/>
          <w:color w:val="auto"/>
          <w:szCs w:val="21"/>
        </w:rPr>
        <w:t>依法缴纳税收承诺书原件。</w:t>
      </w:r>
    </w:p>
    <w:p>
      <w:pPr>
        <w:numPr>
          <w:ilvl w:val="1"/>
          <w:numId w:val="9"/>
        </w:numPr>
        <w:spacing w:beforeLines="50" w:line="320" w:lineRule="exact"/>
        <w:rPr>
          <w:rFonts w:ascii="宋体" w:hAnsi="宋体"/>
          <w:color w:val="auto"/>
          <w:szCs w:val="21"/>
        </w:rPr>
      </w:pPr>
      <w:r>
        <w:rPr>
          <w:rFonts w:hint="eastAsia" w:ascii="宋体" w:hAnsi="宋体"/>
          <w:color w:val="auto"/>
          <w:szCs w:val="21"/>
        </w:rPr>
        <w:tab/>
      </w:r>
      <w:r>
        <w:rPr>
          <w:rFonts w:hint="eastAsia" w:ascii="宋体" w:hAnsi="宋体"/>
          <w:color w:val="auto"/>
          <w:szCs w:val="21"/>
        </w:rPr>
        <w:t>投标货物必须是经过市场检验证明的成熟产品；</w:t>
      </w:r>
    </w:p>
    <w:p>
      <w:pPr>
        <w:numPr>
          <w:ilvl w:val="1"/>
          <w:numId w:val="9"/>
        </w:numPr>
        <w:spacing w:beforeLines="50" w:line="320" w:lineRule="exact"/>
        <w:rPr>
          <w:rFonts w:ascii="宋体" w:hAnsi="宋体" w:cs="宋体"/>
          <w:color w:val="auto"/>
          <w:kern w:val="0"/>
          <w:sz w:val="24"/>
          <w:szCs w:val="21"/>
          <w:u w:val="single"/>
        </w:rPr>
      </w:pPr>
      <w:r>
        <w:rPr>
          <w:rFonts w:hint="eastAsia" w:ascii="宋体" w:hAnsi="宋体"/>
          <w:color w:val="auto"/>
          <w:szCs w:val="21"/>
        </w:rPr>
        <w:tab/>
      </w:r>
      <w:r>
        <w:rPr>
          <w:rFonts w:hint="eastAsia" w:ascii="宋体" w:hAnsi="宋体"/>
          <w:color w:val="auto"/>
          <w:szCs w:val="21"/>
        </w:rPr>
        <w:tab/>
      </w:r>
      <w:r>
        <w:rPr>
          <w:rFonts w:hint="eastAsia" w:ascii="宋体" w:hAnsi="宋体"/>
          <w:color w:val="auto"/>
          <w:szCs w:val="21"/>
        </w:rPr>
        <w:t>投标产品在近五年内在采购人处未发生过重大或批量质量问题；</w:t>
      </w:r>
    </w:p>
    <w:p>
      <w:pPr>
        <w:numPr>
          <w:ilvl w:val="1"/>
          <w:numId w:val="9"/>
        </w:numPr>
        <w:spacing w:beforeLines="50" w:line="320" w:lineRule="exact"/>
        <w:rPr>
          <w:rFonts w:ascii="宋体" w:hAnsi="宋体"/>
          <w:color w:val="auto"/>
          <w:szCs w:val="21"/>
        </w:rPr>
      </w:pPr>
      <w:r>
        <w:rPr>
          <w:rFonts w:hint="eastAsia" w:ascii="宋体" w:hAnsi="宋体"/>
          <w:color w:val="auto"/>
          <w:szCs w:val="21"/>
        </w:rPr>
        <w:t>投标人特定资格要求：</w:t>
      </w:r>
      <w:r>
        <w:rPr>
          <w:rFonts w:hint="eastAsia" w:ascii="宋体" w:hAnsi="宋体" w:cs="仿宋"/>
          <w:b/>
          <w:bCs/>
          <w:color w:val="auto"/>
          <w:szCs w:val="21"/>
        </w:rPr>
        <w:t>无</w:t>
      </w:r>
      <w:r>
        <w:rPr>
          <w:rFonts w:hint="eastAsia" w:ascii="宋体" w:hAnsi="宋体" w:cs="仿宋"/>
          <w:color w:val="auto"/>
          <w:kern w:val="0"/>
          <w:szCs w:val="21"/>
        </w:rPr>
        <w:t>；</w:t>
      </w:r>
    </w:p>
    <w:p>
      <w:pPr>
        <w:numPr>
          <w:ilvl w:val="1"/>
          <w:numId w:val="9"/>
        </w:numPr>
        <w:spacing w:beforeLines="50" w:line="320" w:lineRule="exact"/>
        <w:rPr>
          <w:rFonts w:ascii="宋体" w:hAnsi="宋体"/>
          <w:color w:val="auto"/>
          <w:szCs w:val="21"/>
        </w:rPr>
      </w:pPr>
      <w:r>
        <w:rPr>
          <w:rFonts w:hint="eastAsia" w:ascii="宋体" w:hAnsi="宋体"/>
          <w:color w:val="auto"/>
          <w:szCs w:val="21"/>
        </w:rPr>
        <w:tab/>
      </w:r>
      <w:r>
        <w:rPr>
          <w:rFonts w:hint="eastAsia" w:ascii="宋体" w:hAnsi="宋体"/>
          <w:color w:val="auto"/>
          <w:szCs w:val="21"/>
        </w:rPr>
        <w:tab/>
      </w:r>
      <w:r>
        <w:rPr>
          <w:rFonts w:hint="eastAsia" w:ascii="宋体" w:hAnsi="宋体"/>
          <w:color w:val="auto"/>
          <w:szCs w:val="21"/>
        </w:rPr>
        <w:t>法律、行政法规规定的其他条件。</w:t>
      </w:r>
    </w:p>
    <w:p>
      <w:pPr>
        <w:pStyle w:val="4"/>
        <w:numPr>
          <w:ilvl w:val="0"/>
          <w:numId w:val="6"/>
        </w:numPr>
        <w:adjustRightInd/>
        <w:spacing w:beforeLines="100" w:after="0" w:line="360" w:lineRule="exact"/>
        <w:textAlignment w:val="auto"/>
        <w:rPr>
          <w:rFonts w:ascii="宋体" w:hAnsi="宋体"/>
          <w:color w:val="auto"/>
          <w:sz w:val="24"/>
        </w:rPr>
      </w:pPr>
      <w:bookmarkStart w:id="25" w:name="_Toc193643684"/>
      <w:bookmarkStart w:id="26" w:name="_Toc134155410"/>
      <w:bookmarkStart w:id="27" w:name="_Toc103569365"/>
      <w:bookmarkStart w:id="28" w:name="_Toc261206947"/>
      <w:r>
        <w:rPr>
          <w:rFonts w:hint="eastAsia" w:ascii="宋体" w:hAnsi="宋体"/>
          <w:color w:val="auto"/>
          <w:sz w:val="24"/>
        </w:rPr>
        <w:tab/>
      </w:r>
      <w:bookmarkStart w:id="29" w:name="_Toc384934436"/>
      <w:r>
        <w:rPr>
          <w:rFonts w:hint="eastAsia" w:ascii="宋体" w:hAnsi="宋体"/>
          <w:color w:val="auto"/>
          <w:sz w:val="24"/>
        </w:rPr>
        <w:t>投标费用</w:t>
      </w:r>
      <w:bookmarkEnd w:id="25"/>
      <w:bookmarkEnd w:id="26"/>
      <w:bookmarkEnd w:id="27"/>
      <w:bookmarkEnd w:id="28"/>
      <w:bookmarkEnd w:id="29"/>
    </w:p>
    <w:p>
      <w:pPr>
        <w:numPr>
          <w:ilvl w:val="1"/>
          <w:numId w:val="11"/>
        </w:numPr>
        <w:spacing w:beforeLines="50" w:line="320" w:lineRule="exact"/>
        <w:rPr>
          <w:rFonts w:ascii="宋体" w:hAnsi="宋体"/>
          <w:color w:val="auto"/>
          <w:szCs w:val="21"/>
        </w:rPr>
      </w:pPr>
      <w:r>
        <w:rPr>
          <w:rFonts w:hint="eastAsia" w:ascii="宋体" w:hAnsi="宋体"/>
          <w:color w:val="auto"/>
          <w:szCs w:val="21"/>
        </w:rPr>
        <w:tab/>
      </w:r>
      <w:r>
        <w:rPr>
          <w:rFonts w:hint="eastAsia" w:ascii="宋体" w:hAnsi="宋体"/>
          <w:color w:val="auto"/>
          <w:szCs w:val="21"/>
        </w:rPr>
        <w:t>无论投标过程中的作法和结果如何，投标人自行承担所有与参加投标全过程有关的全部费用。</w:t>
      </w:r>
    </w:p>
    <w:p>
      <w:pPr>
        <w:pStyle w:val="4"/>
        <w:numPr>
          <w:ilvl w:val="0"/>
          <w:numId w:val="6"/>
        </w:numPr>
        <w:adjustRightInd/>
        <w:spacing w:beforeLines="100" w:after="0" w:line="360" w:lineRule="exact"/>
        <w:textAlignment w:val="auto"/>
        <w:rPr>
          <w:rFonts w:ascii="宋体" w:hAnsi="宋体"/>
          <w:color w:val="auto"/>
          <w:sz w:val="24"/>
        </w:rPr>
      </w:pPr>
      <w:bookmarkStart w:id="30" w:name="_Toc193643685"/>
      <w:bookmarkStart w:id="31" w:name="_Toc261206948"/>
      <w:r>
        <w:rPr>
          <w:rFonts w:hint="eastAsia" w:ascii="宋体" w:hAnsi="宋体"/>
          <w:color w:val="auto"/>
          <w:sz w:val="24"/>
        </w:rPr>
        <w:tab/>
      </w:r>
      <w:bookmarkStart w:id="32" w:name="_Toc384934437"/>
      <w:r>
        <w:rPr>
          <w:rFonts w:hint="eastAsia" w:ascii="宋体" w:hAnsi="宋体"/>
          <w:color w:val="auto"/>
          <w:sz w:val="24"/>
        </w:rPr>
        <w:t>联合体标/分项投标</w:t>
      </w:r>
      <w:bookmarkEnd w:id="30"/>
      <w:bookmarkEnd w:id="31"/>
      <w:bookmarkEnd w:id="32"/>
    </w:p>
    <w:p>
      <w:pPr>
        <w:numPr>
          <w:ilvl w:val="1"/>
          <w:numId w:val="12"/>
        </w:numPr>
        <w:spacing w:beforeLines="50" w:line="320" w:lineRule="exact"/>
        <w:rPr>
          <w:rFonts w:ascii="宋体" w:hAnsi="宋体"/>
          <w:color w:val="auto"/>
          <w:szCs w:val="21"/>
        </w:rPr>
      </w:pPr>
      <w:r>
        <w:rPr>
          <w:rFonts w:hint="eastAsia" w:ascii="宋体" w:hAnsi="宋体"/>
          <w:color w:val="auto"/>
          <w:szCs w:val="21"/>
        </w:rPr>
        <w:t>本项目不接受联合体投标。</w:t>
      </w:r>
    </w:p>
    <w:p>
      <w:pPr>
        <w:pStyle w:val="4"/>
        <w:numPr>
          <w:ilvl w:val="0"/>
          <w:numId w:val="6"/>
        </w:numPr>
        <w:adjustRightInd/>
        <w:spacing w:beforeLines="100" w:after="0" w:line="360" w:lineRule="exact"/>
        <w:textAlignment w:val="auto"/>
        <w:rPr>
          <w:rFonts w:ascii="宋体" w:hAnsi="宋体"/>
          <w:color w:val="auto"/>
          <w:sz w:val="24"/>
        </w:rPr>
      </w:pPr>
      <w:bookmarkStart w:id="33" w:name="_Toc261206949"/>
      <w:r>
        <w:rPr>
          <w:rFonts w:hint="eastAsia" w:ascii="宋体" w:hAnsi="宋体"/>
          <w:color w:val="auto"/>
          <w:sz w:val="24"/>
        </w:rPr>
        <w:tab/>
      </w:r>
      <w:bookmarkStart w:id="34" w:name="_Toc384934438"/>
      <w:r>
        <w:rPr>
          <w:rFonts w:hint="eastAsia" w:ascii="宋体" w:hAnsi="宋体"/>
          <w:color w:val="auto"/>
          <w:sz w:val="24"/>
        </w:rPr>
        <w:t>现场踏勘及技术交流</w:t>
      </w:r>
      <w:bookmarkEnd w:id="33"/>
      <w:bookmarkEnd w:id="34"/>
    </w:p>
    <w:p>
      <w:pPr>
        <w:numPr>
          <w:ilvl w:val="1"/>
          <w:numId w:val="13"/>
        </w:numPr>
        <w:spacing w:beforeLines="50" w:line="320" w:lineRule="exact"/>
        <w:rPr>
          <w:rFonts w:ascii="宋体" w:hAnsi="宋体"/>
          <w:color w:val="auto"/>
          <w:szCs w:val="21"/>
        </w:rPr>
      </w:pPr>
      <w:r>
        <w:rPr>
          <w:rFonts w:hint="eastAsia" w:ascii="宋体" w:hAnsi="宋体"/>
          <w:color w:val="auto"/>
          <w:szCs w:val="21"/>
        </w:rPr>
        <w:t>本次采购不安排现场踏勘。开标前投标人应主动与采购人进行技术交流，详细了解招标货物的技术特点及要求，以便使投标人的投标货物能准确的满足招标文件的技术要求。</w:t>
      </w:r>
    </w:p>
    <w:p>
      <w:pPr>
        <w:pStyle w:val="3"/>
        <w:numPr>
          <w:ilvl w:val="0"/>
          <w:numId w:val="5"/>
        </w:numPr>
        <w:adjustRightInd/>
        <w:spacing w:beforeLines="150" w:afterLines="50" w:line="360" w:lineRule="exact"/>
        <w:jc w:val="center"/>
        <w:textAlignment w:val="auto"/>
        <w:rPr>
          <w:rFonts w:ascii="宋体" w:hAnsi="宋体" w:eastAsia="宋体"/>
          <w:color w:val="auto"/>
          <w:sz w:val="30"/>
          <w:szCs w:val="30"/>
        </w:rPr>
      </w:pPr>
      <w:bookmarkStart w:id="35" w:name="_Toc134155411"/>
      <w:bookmarkStart w:id="36" w:name="_Toc261206950"/>
      <w:bookmarkStart w:id="37" w:name="_Toc384934439"/>
      <w:bookmarkStart w:id="38" w:name="_Toc103569366"/>
      <w:bookmarkStart w:id="39" w:name="_Toc193643687"/>
      <w:r>
        <w:rPr>
          <w:rFonts w:hint="eastAsia" w:ascii="宋体" w:hAnsi="宋体" w:eastAsia="宋体"/>
          <w:color w:val="auto"/>
          <w:sz w:val="30"/>
          <w:szCs w:val="30"/>
        </w:rPr>
        <w:t>招标文件</w:t>
      </w:r>
      <w:bookmarkEnd w:id="35"/>
      <w:bookmarkEnd w:id="36"/>
      <w:bookmarkEnd w:id="37"/>
      <w:bookmarkEnd w:id="38"/>
      <w:bookmarkEnd w:id="39"/>
    </w:p>
    <w:p>
      <w:pPr>
        <w:pStyle w:val="4"/>
        <w:numPr>
          <w:ilvl w:val="0"/>
          <w:numId w:val="6"/>
        </w:numPr>
        <w:adjustRightInd/>
        <w:spacing w:beforeLines="100" w:after="0" w:line="360" w:lineRule="exact"/>
        <w:textAlignment w:val="auto"/>
        <w:rPr>
          <w:rFonts w:ascii="宋体" w:hAnsi="宋体"/>
          <w:color w:val="auto"/>
          <w:sz w:val="24"/>
        </w:rPr>
      </w:pPr>
      <w:bookmarkStart w:id="40" w:name="_Toc261206951"/>
      <w:bookmarkStart w:id="41" w:name="_Toc134155412"/>
      <w:bookmarkStart w:id="42" w:name="_Toc193643688"/>
      <w:bookmarkStart w:id="43" w:name="_Toc103569367"/>
      <w:r>
        <w:rPr>
          <w:rFonts w:hint="eastAsia" w:ascii="宋体" w:hAnsi="宋体"/>
          <w:color w:val="auto"/>
          <w:sz w:val="24"/>
        </w:rPr>
        <w:tab/>
      </w:r>
      <w:bookmarkStart w:id="44" w:name="_Toc384934440"/>
      <w:r>
        <w:rPr>
          <w:rFonts w:hint="eastAsia" w:ascii="宋体" w:hAnsi="宋体"/>
          <w:color w:val="auto"/>
          <w:sz w:val="24"/>
        </w:rPr>
        <w:t>招标文件</w:t>
      </w:r>
      <w:bookmarkEnd w:id="40"/>
      <w:bookmarkEnd w:id="41"/>
      <w:bookmarkEnd w:id="42"/>
      <w:bookmarkEnd w:id="43"/>
      <w:bookmarkEnd w:id="44"/>
    </w:p>
    <w:p>
      <w:pPr>
        <w:numPr>
          <w:ilvl w:val="1"/>
          <w:numId w:val="14"/>
        </w:numPr>
        <w:spacing w:beforeLines="50" w:line="320" w:lineRule="exact"/>
        <w:rPr>
          <w:rFonts w:ascii="宋体" w:hAnsi="宋体"/>
          <w:color w:val="auto"/>
          <w:szCs w:val="21"/>
        </w:rPr>
      </w:pPr>
      <w:r>
        <w:rPr>
          <w:rFonts w:hint="eastAsia" w:ascii="宋体" w:hAnsi="宋体"/>
          <w:color w:val="auto"/>
          <w:szCs w:val="21"/>
        </w:rPr>
        <w:tab/>
      </w:r>
      <w:r>
        <w:rPr>
          <w:rFonts w:hint="eastAsia" w:ascii="宋体" w:hAnsi="宋体"/>
          <w:color w:val="auto"/>
          <w:szCs w:val="21"/>
        </w:rPr>
        <w:t>招标文件由下列文件及在招标过程中发出的修正和补充文件组成。</w:t>
      </w:r>
    </w:p>
    <w:p>
      <w:pPr>
        <w:numPr>
          <w:ilvl w:val="2"/>
          <w:numId w:val="15"/>
        </w:numPr>
        <w:spacing w:beforeLines="50" w:line="360" w:lineRule="exact"/>
        <w:rPr>
          <w:rFonts w:ascii="宋体" w:hAnsi="宋体"/>
          <w:color w:val="auto"/>
          <w:szCs w:val="21"/>
        </w:rPr>
      </w:pPr>
      <w:r>
        <w:rPr>
          <w:rFonts w:hint="eastAsia" w:ascii="宋体" w:hAnsi="宋体"/>
          <w:color w:val="auto"/>
          <w:szCs w:val="21"/>
        </w:rPr>
        <w:t>招标公告；</w:t>
      </w:r>
    </w:p>
    <w:p>
      <w:pPr>
        <w:numPr>
          <w:ilvl w:val="2"/>
          <w:numId w:val="15"/>
        </w:numPr>
        <w:spacing w:line="320" w:lineRule="exact"/>
        <w:rPr>
          <w:rFonts w:ascii="宋体" w:hAnsi="宋体"/>
          <w:color w:val="auto"/>
          <w:szCs w:val="21"/>
        </w:rPr>
      </w:pPr>
      <w:r>
        <w:rPr>
          <w:rFonts w:hint="eastAsia" w:ascii="宋体" w:hAnsi="宋体"/>
          <w:color w:val="auto"/>
          <w:szCs w:val="21"/>
        </w:rPr>
        <w:t>投标人须知；</w:t>
      </w:r>
    </w:p>
    <w:p>
      <w:pPr>
        <w:numPr>
          <w:ilvl w:val="2"/>
          <w:numId w:val="15"/>
        </w:numPr>
        <w:spacing w:line="320" w:lineRule="exact"/>
        <w:rPr>
          <w:rFonts w:ascii="宋体" w:hAnsi="宋体"/>
          <w:color w:val="auto"/>
          <w:szCs w:val="21"/>
        </w:rPr>
      </w:pPr>
      <w:r>
        <w:rPr>
          <w:rFonts w:hint="eastAsia" w:ascii="宋体" w:hAnsi="宋体"/>
          <w:bCs/>
          <w:color w:val="auto"/>
          <w:szCs w:val="21"/>
        </w:rPr>
        <w:t>合同条款；</w:t>
      </w:r>
    </w:p>
    <w:p>
      <w:pPr>
        <w:numPr>
          <w:ilvl w:val="2"/>
          <w:numId w:val="15"/>
        </w:numPr>
        <w:spacing w:line="320" w:lineRule="exact"/>
        <w:rPr>
          <w:rFonts w:ascii="宋体" w:hAnsi="宋体"/>
          <w:color w:val="auto"/>
          <w:szCs w:val="21"/>
        </w:rPr>
      </w:pPr>
      <w:r>
        <w:rPr>
          <w:rFonts w:hint="eastAsia" w:ascii="宋体" w:hAnsi="宋体"/>
          <w:color w:val="auto"/>
          <w:szCs w:val="21"/>
        </w:rPr>
        <w:t>技术规格及要求；</w:t>
      </w:r>
    </w:p>
    <w:p>
      <w:pPr>
        <w:numPr>
          <w:ilvl w:val="2"/>
          <w:numId w:val="15"/>
        </w:numPr>
        <w:spacing w:line="320" w:lineRule="exact"/>
        <w:rPr>
          <w:rFonts w:ascii="宋体" w:hAnsi="宋体"/>
          <w:color w:val="auto"/>
          <w:szCs w:val="21"/>
        </w:rPr>
      </w:pPr>
      <w:r>
        <w:rPr>
          <w:rFonts w:hint="eastAsia" w:ascii="宋体" w:hAnsi="宋体"/>
          <w:color w:val="auto"/>
          <w:szCs w:val="21"/>
        </w:rPr>
        <w:t>附件—投标文件格式。</w:t>
      </w:r>
    </w:p>
    <w:p>
      <w:pPr>
        <w:pStyle w:val="4"/>
        <w:numPr>
          <w:ilvl w:val="0"/>
          <w:numId w:val="6"/>
        </w:numPr>
        <w:adjustRightInd/>
        <w:spacing w:beforeLines="100" w:after="0" w:line="360" w:lineRule="exact"/>
        <w:textAlignment w:val="auto"/>
        <w:rPr>
          <w:rFonts w:ascii="宋体" w:hAnsi="宋体"/>
          <w:color w:val="auto"/>
          <w:sz w:val="24"/>
        </w:rPr>
      </w:pPr>
      <w:bookmarkStart w:id="45" w:name="_Toc134155413"/>
      <w:bookmarkStart w:id="46" w:name="_Toc103569368"/>
      <w:bookmarkStart w:id="47" w:name="_Toc193643689"/>
      <w:bookmarkStart w:id="48" w:name="_Toc261206952"/>
      <w:r>
        <w:rPr>
          <w:rFonts w:hint="eastAsia" w:ascii="宋体" w:hAnsi="宋体"/>
          <w:color w:val="auto"/>
          <w:sz w:val="24"/>
        </w:rPr>
        <w:tab/>
      </w:r>
      <w:bookmarkStart w:id="49" w:name="_Toc384934441"/>
      <w:r>
        <w:rPr>
          <w:rFonts w:hint="eastAsia" w:ascii="宋体" w:hAnsi="宋体"/>
          <w:color w:val="auto"/>
          <w:sz w:val="24"/>
        </w:rPr>
        <w:t>招标文件的澄清</w:t>
      </w:r>
      <w:bookmarkEnd w:id="45"/>
      <w:bookmarkEnd w:id="46"/>
      <w:bookmarkEnd w:id="47"/>
      <w:bookmarkEnd w:id="48"/>
      <w:bookmarkEnd w:id="49"/>
    </w:p>
    <w:p>
      <w:pPr>
        <w:numPr>
          <w:ilvl w:val="1"/>
          <w:numId w:val="16"/>
        </w:numPr>
        <w:spacing w:beforeLines="50" w:line="320" w:lineRule="exact"/>
        <w:rPr>
          <w:rFonts w:ascii="宋体" w:hAnsi="宋体"/>
          <w:color w:val="auto"/>
          <w:szCs w:val="21"/>
        </w:rPr>
      </w:pPr>
      <w:r>
        <w:rPr>
          <w:rFonts w:hint="eastAsia" w:ascii="宋体" w:hAnsi="宋体"/>
          <w:color w:val="auto"/>
          <w:szCs w:val="21"/>
        </w:rPr>
        <w:tab/>
      </w:r>
      <w:r>
        <w:rPr>
          <w:rFonts w:hint="eastAsia" w:ascii="宋体" w:hAnsi="宋体"/>
          <w:color w:val="auto"/>
          <w:szCs w:val="21"/>
        </w:rPr>
        <w:t>投标人收到招标文件时,应仔细检查招标文件的所有内容，包括页数和附件数量，如有残缺应在投标截止时间之前向招标人提出，否则，由此引起的投标损失自负；投标人同时应认真审阅招标文件所有事项、格式、条款和规范要求等，如投标人的投标文件不符合招标文件要求，其投标有可能被拒绝。</w:t>
      </w:r>
    </w:p>
    <w:p>
      <w:pPr>
        <w:numPr>
          <w:ilvl w:val="1"/>
          <w:numId w:val="16"/>
        </w:numPr>
        <w:spacing w:beforeLines="50" w:line="320" w:lineRule="exact"/>
        <w:rPr>
          <w:rFonts w:ascii="宋体" w:hAnsi="宋体"/>
          <w:color w:val="auto"/>
          <w:szCs w:val="21"/>
        </w:rPr>
      </w:pPr>
      <w:r>
        <w:rPr>
          <w:rFonts w:hint="eastAsia" w:ascii="宋体" w:hAnsi="宋体"/>
          <w:color w:val="auto"/>
          <w:szCs w:val="21"/>
        </w:rPr>
        <w:tab/>
      </w:r>
      <w:r>
        <w:rPr>
          <w:rFonts w:hint="eastAsia" w:ascii="宋体" w:hAnsi="宋体"/>
          <w:color w:val="auto"/>
          <w:szCs w:val="21"/>
        </w:rPr>
        <w:t xml:space="preserve">投标人应仔细阅读理解招标文件的所有内容,如对招标文件有疑点,可要求澄清。投标人应在投标截止时间之3天以前,按投标邀请中载明的地址以书面形式(包括信函、电传、电报、传真，下同)或电子邮件形式通知招标人，招标人将视情况确定技术交流或将视情况以书面或电子邮件形式在投标截止时间1天以前答复(包括对询问的解释，但不标明其来源)已购买招标文件的每一个投标人。 </w:t>
      </w:r>
    </w:p>
    <w:p>
      <w:pPr>
        <w:numPr>
          <w:ilvl w:val="1"/>
          <w:numId w:val="16"/>
        </w:numPr>
        <w:spacing w:beforeLines="50" w:line="320" w:lineRule="exact"/>
        <w:rPr>
          <w:rFonts w:ascii="宋体" w:hAnsi="宋体"/>
          <w:color w:val="auto"/>
          <w:szCs w:val="21"/>
        </w:rPr>
      </w:pPr>
      <w:r>
        <w:rPr>
          <w:rFonts w:hint="eastAsia" w:ascii="宋体" w:hAnsi="宋体"/>
          <w:color w:val="auto"/>
          <w:szCs w:val="21"/>
        </w:rPr>
        <w:tab/>
      </w:r>
      <w:r>
        <w:rPr>
          <w:rFonts w:hint="eastAsia" w:ascii="宋体" w:hAnsi="宋体"/>
          <w:color w:val="auto"/>
          <w:szCs w:val="21"/>
        </w:rPr>
        <w:t>如果投标人没有按本须知8.2款要求提出质疑,任何对招标文件的忽略或误解所引起的风险应由投标人自行承担。</w:t>
      </w:r>
    </w:p>
    <w:p>
      <w:pPr>
        <w:pStyle w:val="4"/>
        <w:numPr>
          <w:ilvl w:val="0"/>
          <w:numId w:val="6"/>
        </w:numPr>
        <w:adjustRightInd/>
        <w:spacing w:beforeLines="100" w:after="0" w:line="360" w:lineRule="exact"/>
        <w:textAlignment w:val="auto"/>
        <w:rPr>
          <w:rFonts w:ascii="宋体" w:hAnsi="宋体"/>
          <w:color w:val="auto"/>
          <w:sz w:val="24"/>
        </w:rPr>
      </w:pPr>
      <w:bookmarkStart w:id="50" w:name="_Toc103569369"/>
      <w:bookmarkStart w:id="51" w:name="_Toc134155414"/>
      <w:bookmarkStart w:id="52" w:name="_Toc193643690"/>
      <w:bookmarkStart w:id="53" w:name="_Toc261206953"/>
      <w:r>
        <w:rPr>
          <w:rFonts w:hint="eastAsia" w:ascii="宋体" w:hAnsi="宋体"/>
          <w:color w:val="auto"/>
          <w:sz w:val="24"/>
        </w:rPr>
        <w:tab/>
      </w:r>
      <w:bookmarkStart w:id="54" w:name="_Toc384934442"/>
      <w:r>
        <w:rPr>
          <w:rFonts w:hint="eastAsia" w:ascii="宋体" w:hAnsi="宋体"/>
          <w:color w:val="auto"/>
          <w:sz w:val="24"/>
        </w:rPr>
        <w:t>招标文件的修改</w:t>
      </w:r>
      <w:bookmarkEnd w:id="50"/>
      <w:bookmarkEnd w:id="51"/>
      <w:bookmarkEnd w:id="52"/>
      <w:bookmarkEnd w:id="53"/>
      <w:bookmarkEnd w:id="54"/>
    </w:p>
    <w:p>
      <w:pPr>
        <w:numPr>
          <w:ilvl w:val="1"/>
          <w:numId w:val="17"/>
        </w:numPr>
        <w:spacing w:beforeLines="50" w:line="320" w:lineRule="exact"/>
        <w:rPr>
          <w:rFonts w:ascii="宋体" w:hAnsi="宋体"/>
          <w:color w:val="auto"/>
          <w:szCs w:val="21"/>
        </w:rPr>
      </w:pPr>
      <w:r>
        <w:rPr>
          <w:rFonts w:hint="eastAsia" w:ascii="宋体" w:hAnsi="宋体"/>
          <w:color w:val="auto"/>
          <w:szCs w:val="21"/>
        </w:rPr>
        <w:tab/>
      </w:r>
      <w:r>
        <w:rPr>
          <w:rFonts w:hint="eastAsia" w:ascii="宋体" w:hAnsi="宋体"/>
          <w:color w:val="auto"/>
          <w:szCs w:val="21"/>
        </w:rPr>
        <w:t>在投标截止时间前，招标人无论出于自己的考虑，还是出于对投标人提问的澄清，均可对招标文件用补充文件的方式进行修改和补充。</w:t>
      </w:r>
    </w:p>
    <w:p>
      <w:pPr>
        <w:numPr>
          <w:ilvl w:val="1"/>
          <w:numId w:val="17"/>
        </w:numPr>
        <w:spacing w:beforeLines="50" w:line="320" w:lineRule="exact"/>
        <w:rPr>
          <w:rFonts w:ascii="宋体" w:hAnsi="宋体"/>
          <w:color w:val="auto"/>
          <w:szCs w:val="21"/>
        </w:rPr>
      </w:pPr>
      <w:r>
        <w:rPr>
          <w:rFonts w:hint="eastAsia" w:ascii="宋体" w:hAnsi="宋体"/>
          <w:color w:val="auto"/>
          <w:szCs w:val="21"/>
        </w:rPr>
        <w:tab/>
      </w:r>
      <w:r>
        <w:rPr>
          <w:rFonts w:hint="eastAsia" w:ascii="宋体" w:hAnsi="宋体"/>
          <w:color w:val="auto"/>
          <w:szCs w:val="21"/>
        </w:rPr>
        <w:t>对招标文件的修改和补充，将以信函、电报或传真的形式通知已购买招标文件的每一投标人。修改和补充文件将作为招标文件的组成部分，对所有投标人有约束力。投标人收到修改文件后,应立即以书面形式通知招标人,确认已经收到了修改文件。</w:t>
      </w:r>
    </w:p>
    <w:p>
      <w:pPr>
        <w:numPr>
          <w:ilvl w:val="1"/>
          <w:numId w:val="17"/>
        </w:numPr>
        <w:spacing w:beforeLines="50" w:line="320" w:lineRule="exact"/>
        <w:rPr>
          <w:rFonts w:ascii="宋体" w:hAnsi="宋体"/>
          <w:color w:val="auto"/>
          <w:szCs w:val="21"/>
        </w:rPr>
      </w:pPr>
      <w:r>
        <w:rPr>
          <w:rFonts w:hint="eastAsia" w:ascii="宋体" w:hAnsi="宋体"/>
          <w:color w:val="auto"/>
          <w:szCs w:val="21"/>
        </w:rPr>
        <w:tab/>
      </w:r>
      <w:r>
        <w:rPr>
          <w:rFonts w:hint="eastAsia" w:ascii="宋体" w:hAnsi="宋体"/>
          <w:color w:val="auto"/>
          <w:szCs w:val="21"/>
        </w:rPr>
        <w:t>为使投标人有足够的时间按招标文件的修改要求考虑修正投标文件，招标人可酌情推迟投标的截止日期和开标日期，并将此变更通知上述每一投标人。</w:t>
      </w:r>
    </w:p>
    <w:p>
      <w:pPr>
        <w:numPr>
          <w:ilvl w:val="1"/>
          <w:numId w:val="17"/>
        </w:numPr>
        <w:spacing w:beforeLines="50" w:line="320" w:lineRule="exact"/>
        <w:rPr>
          <w:rFonts w:ascii="宋体" w:hAnsi="宋体"/>
          <w:color w:val="auto"/>
          <w:szCs w:val="21"/>
        </w:rPr>
      </w:pPr>
      <w:r>
        <w:rPr>
          <w:rFonts w:hint="eastAsia" w:ascii="宋体" w:hAnsi="宋体"/>
          <w:color w:val="auto"/>
          <w:szCs w:val="21"/>
        </w:rPr>
        <w:tab/>
      </w:r>
      <w:r>
        <w:rPr>
          <w:rFonts w:hint="eastAsia" w:ascii="宋体" w:hAnsi="宋体"/>
          <w:color w:val="auto"/>
          <w:szCs w:val="21"/>
        </w:rPr>
        <w:t>招标文件澄清（答疑）纪要、招标文件修改补充通知内容均以书面明确的内容为准。当招标文件、修改补充通知、澄清（答疑）纪要内容发生矛盾时，以最后发出的通知（或纪要）或修改文件为准。</w:t>
      </w:r>
    </w:p>
    <w:p>
      <w:pPr>
        <w:pStyle w:val="3"/>
        <w:numPr>
          <w:ilvl w:val="0"/>
          <w:numId w:val="5"/>
        </w:numPr>
        <w:adjustRightInd/>
        <w:spacing w:beforeLines="150" w:afterLines="50" w:line="360" w:lineRule="exact"/>
        <w:jc w:val="center"/>
        <w:textAlignment w:val="auto"/>
        <w:rPr>
          <w:rFonts w:ascii="宋体" w:hAnsi="宋体" w:eastAsia="宋体"/>
          <w:color w:val="auto"/>
          <w:sz w:val="30"/>
          <w:szCs w:val="30"/>
        </w:rPr>
      </w:pPr>
      <w:bookmarkStart w:id="55" w:name="_Toc103569370"/>
      <w:bookmarkStart w:id="56" w:name="_Toc134155415"/>
      <w:bookmarkStart w:id="57" w:name="_Toc193643691"/>
      <w:bookmarkStart w:id="58" w:name="_Toc384934443"/>
      <w:bookmarkStart w:id="59" w:name="_Toc261206954"/>
      <w:r>
        <w:rPr>
          <w:rFonts w:hint="eastAsia" w:ascii="宋体" w:hAnsi="宋体" w:eastAsia="宋体"/>
          <w:color w:val="auto"/>
          <w:sz w:val="30"/>
          <w:szCs w:val="30"/>
        </w:rPr>
        <w:t>投标文件</w:t>
      </w:r>
      <w:bookmarkEnd w:id="55"/>
      <w:bookmarkEnd w:id="56"/>
      <w:r>
        <w:rPr>
          <w:rFonts w:hint="eastAsia" w:ascii="宋体" w:hAnsi="宋体" w:eastAsia="宋体"/>
          <w:color w:val="auto"/>
          <w:sz w:val="30"/>
          <w:szCs w:val="30"/>
        </w:rPr>
        <w:t>的编写</w:t>
      </w:r>
      <w:bookmarkEnd w:id="57"/>
      <w:bookmarkEnd w:id="58"/>
      <w:bookmarkEnd w:id="59"/>
    </w:p>
    <w:p>
      <w:pPr>
        <w:pStyle w:val="4"/>
        <w:numPr>
          <w:ilvl w:val="0"/>
          <w:numId w:val="6"/>
        </w:numPr>
        <w:adjustRightInd/>
        <w:spacing w:beforeLines="100" w:after="0" w:line="360" w:lineRule="exact"/>
        <w:textAlignment w:val="auto"/>
        <w:rPr>
          <w:rFonts w:ascii="宋体" w:hAnsi="宋体"/>
          <w:color w:val="auto"/>
          <w:sz w:val="24"/>
        </w:rPr>
      </w:pPr>
      <w:bookmarkStart w:id="60" w:name="_Toc193643692"/>
      <w:bookmarkStart w:id="61" w:name="_Toc261206955"/>
      <w:r>
        <w:rPr>
          <w:rFonts w:hint="eastAsia" w:ascii="宋体" w:hAnsi="宋体"/>
          <w:color w:val="auto"/>
          <w:sz w:val="24"/>
        </w:rPr>
        <w:tab/>
      </w:r>
      <w:bookmarkStart w:id="62" w:name="_Toc384934444"/>
      <w:r>
        <w:rPr>
          <w:rFonts w:hint="eastAsia" w:ascii="宋体" w:hAnsi="宋体"/>
          <w:color w:val="auto"/>
          <w:sz w:val="24"/>
        </w:rPr>
        <w:t>投标文件的编写要求</w:t>
      </w:r>
      <w:bookmarkEnd w:id="60"/>
      <w:bookmarkEnd w:id="61"/>
      <w:bookmarkEnd w:id="62"/>
    </w:p>
    <w:p>
      <w:pPr>
        <w:numPr>
          <w:ilvl w:val="1"/>
          <w:numId w:val="18"/>
        </w:numPr>
        <w:spacing w:beforeLines="50" w:line="320" w:lineRule="exact"/>
        <w:rPr>
          <w:rFonts w:ascii="宋体" w:hAnsi="宋体"/>
          <w:color w:val="auto"/>
          <w:szCs w:val="21"/>
        </w:rPr>
      </w:pPr>
      <w:r>
        <w:rPr>
          <w:rFonts w:hint="eastAsia" w:ascii="宋体" w:hAnsi="宋体"/>
          <w:color w:val="auto"/>
          <w:szCs w:val="21"/>
        </w:rPr>
        <w:t>投标人应按招标文件的要求编写投标文件,并保证所提供的全部资料真实有效,对招标文件作出实质性的响应。</w:t>
      </w:r>
    </w:p>
    <w:p>
      <w:pPr>
        <w:pStyle w:val="4"/>
        <w:numPr>
          <w:ilvl w:val="0"/>
          <w:numId w:val="6"/>
        </w:numPr>
        <w:adjustRightInd/>
        <w:spacing w:beforeLines="100" w:after="0" w:line="360" w:lineRule="exact"/>
        <w:textAlignment w:val="auto"/>
        <w:rPr>
          <w:rFonts w:ascii="宋体" w:hAnsi="宋体"/>
          <w:color w:val="auto"/>
          <w:sz w:val="24"/>
        </w:rPr>
      </w:pPr>
      <w:bookmarkStart w:id="63" w:name="_Toc134155416"/>
      <w:bookmarkStart w:id="64" w:name="_Toc261206956"/>
      <w:bookmarkStart w:id="65" w:name="_Toc193643693"/>
      <w:bookmarkStart w:id="66" w:name="_Toc103569371"/>
      <w:r>
        <w:rPr>
          <w:rFonts w:hint="eastAsia" w:ascii="宋体" w:hAnsi="宋体"/>
          <w:color w:val="auto"/>
          <w:sz w:val="24"/>
        </w:rPr>
        <w:tab/>
      </w:r>
      <w:bookmarkStart w:id="67" w:name="_Toc384934445"/>
      <w:r>
        <w:rPr>
          <w:rFonts w:hint="eastAsia" w:ascii="宋体" w:hAnsi="宋体"/>
          <w:color w:val="auto"/>
          <w:sz w:val="24"/>
        </w:rPr>
        <w:t>投标文件的语言及计量单位</w:t>
      </w:r>
      <w:bookmarkEnd w:id="63"/>
      <w:bookmarkEnd w:id="64"/>
      <w:bookmarkEnd w:id="65"/>
      <w:bookmarkEnd w:id="66"/>
      <w:bookmarkEnd w:id="67"/>
    </w:p>
    <w:p>
      <w:pPr>
        <w:numPr>
          <w:ilvl w:val="1"/>
          <w:numId w:val="19"/>
        </w:numPr>
        <w:spacing w:beforeLines="50" w:line="320" w:lineRule="exact"/>
        <w:rPr>
          <w:rFonts w:ascii="宋体" w:hAnsi="宋体"/>
          <w:color w:val="auto"/>
          <w:szCs w:val="21"/>
        </w:rPr>
      </w:pPr>
      <w:r>
        <w:rPr>
          <w:rFonts w:hint="eastAsia" w:ascii="宋体" w:hAnsi="宋体"/>
          <w:color w:val="auto"/>
          <w:szCs w:val="21"/>
        </w:rPr>
        <w:tab/>
      </w:r>
      <w:r>
        <w:rPr>
          <w:rFonts w:hint="eastAsia" w:ascii="宋体" w:hAnsi="宋体"/>
          <w:color w:val="auto"/>
          <w:szCs w:val="21"/>
        </w:rPr>
        <w:t>投标人提交的投标文件及投标人与招标人就有关投标的所有来往函电均使用中文。</w:t>
      </w:r>
    </w:p>
    <w:p>
      <w:pPr>
        <w:numPr>
          <w:ilvl w:val="1"/>
          <w:numId w:val="19"/>
        </w:numPr>
        <w:spacing w:beforeLines="50" w:line="320" w:lineRule="exact"/>
        <w:rPr>
          <w:rFonts w:ascii="宋体" w:hAnsi="宋体"/>
          <w:color w:val="auto"/>
          <w:szCs w:val="21"/>
        </w:rPr>
      </w:pPr>
      <w:r>
        <w:rPr>
          <w:rFonts w:hint="eastAsia" w:ascii="宋体" w:hAnsi="宋体"/>
          <w:color w:val="auto"/>
          <w:szCs w:val="21"/>
        </w:rPr>
        <w:tab/>
      </w:r>
      <w:r>
        <w:rPr>
          <w:rFonts w:hint="eastAsia" w:ascii="宋体" w:hAnsi="宋体"/>
          <w:color w:val="auto"/>
          <w:szCs w:val="21"/>
        </w:rPr>
        <w:t>投标文件中所使用的计量单位，除招标文件中有特殊要求外，应采用国家法定计量单位(国际单位制和国家选定的其它计量单位)。</w:t>
      </w:r>
    </w:p>
    <w:p>
      <w:pPr>
        <w:pStyle w:val="4"/>
        <w:numPr>
          <w:ilvl w:val="0"/>
          <w:numId w:val="6"/>
        </w:numPr>
        <w:adjustRightInd/>
        <w:spacing w:beforeLines="100" w:after="0" w:line="360" w:lineRule="exact"/>
        <w:textAlignment w:val="auto"/>
        <w:rPr>
          <w:rFonts w:ascii="宋体" w:hAnsi="宋体"/>
          <w:color w:val="auto"/>
          <w:sz w:val="24"/>
        </w:rPr>
      </w:pPr>
      <w:bookmarkStart w:id="68" w:name="_Toc193643694"/>
      <w:bookmarkStart w:id="69" w:name="_Toc103569372"/>
      <w:bookmarkStart w:id="70" w:name="_Toc261206957"/>
      <w:bookmarkStart w:id="71" w:name="_Toc134155417"/>
      <w:r>
        <w:rPr>
          <w:rFonts w:hint="eastAsia" w:ascii="宋体" w:hAnsi="宋体"/>
          <w:color w:val="auto"/>
          <w:sz w:val="24"/>
        </w:rPr>
        <w:tab/>
      </w:r>
      <w:bookmarkStart w:id="72" w:name="_Toc384934446"/>
      <w:r>
        <w:rPr>
          <w:rFonts w:hint="eastAsia" w:ascii="宋体" w:hAnsi="宋体"/>
          <w:color w:val="auto"/>
          <w:sz w:val="24"/>
        </w:rPr>
        <w:t>投标文件的组成</w:t>
      </w:r>
      <w:bookmarkEnd w:id="68"/>
      <w:bookmarkEnd w:id="69"/>
      <w:bookmarkEnd w:id="70"/>
      <w:bookmarkEnd w:id="71"/>
      <w:bookmarkEnd w:id="72"/>
    </w:p>
    <w:p>
      <w:pPr>
        <w:pStyle w:val="18"/>
        <w:adjustRightInd w:val="0"/>
        <w:snapToGrid w:val="0"/>
        <w:spacing w:beforeLines="20" w:afterLines="20" w:line="320" w:lineRule="atLeast"/>
        <w:ind w:left="680"/>
        <w:rPr>
          <w:rFonts w:ascii="宋体" w:hAnsi="宋体"/>
          <w:bCs/>
          <w:color w:val="auto"/>
          <w:sz w:val="21"/>
          <w:szCs w:val="21"/>
        </w:rPr>
      </w:pPr>
      <w:r>
        <w:rPr>
          <w:rFonts w:hint="eastAsia" w:ascii="宋体" w:hAnsi="宋体"/>
          <w:bCs/>
          <w:color w:val="auto"/>
          <w:sz w:val="21"/>
          <w:szCs w:val="21"/>
        </w:rPr>
        <w:t>除了招标文件已经有要求的条款外，投标人必须提供以下带“</w:t>
      </w:r>
      <w:r>
        <w:rPr>
          <w:rFonts w:hint="eastAsia" w:ascii="宋体" w:hAnsi="宋体"/>
          <w:b/>
          <w:color w:val="auto"/>
          <w:sz w:val="21"/>
          <w:szCs w:val="21"/>
        </w:rPr>
        <w:t>*</w:t>
      </w:r>
      <w:r>
        <w:rPr>
          <w:rFonts w:hint="eastAsia" w:ascii="宋体" w:hAnsi="宋体"/>
          <w:bCs/>
          <w:color w:val="auto"/>
          <w:sz w:val="21"/>
          <w:szCs w:val="21"/>
        </w:rPr>
        <w:t>”号的条款内容，否则招标人有权拒绝其投标。除注明可用复印件的外，其余的必须提供原件。</w:t>
      </w:r>
    </w:p>
    <w:p>
      <w:pPr>
        <w:numPr>
          <w:ilvl w:val="1"/>
          <w:numId w:val="20"/>
        </w:numPr>
        <w:spacing w:beforeLines="50" w:line="320" w:lineRule="exact"/>
        <w:rPr>
          <w:rFonts w:ascii="宋体" w:hAnsi="宋体"/>
          <w:color w:val="auto"/>
          <w:szCs w:val="21"/>
        </w:rPr>
      </w:pPr>
      <w:r>
        <w:rPr>
          <w:rFonts w:hint="eastAsia" w:ascii="宋体" w:hAnsi="宋体"/>
          <w:color w:val="auto"/>
          <w:szCs w:val="21"/>
        </w:rPr>
        <w:tab/>
      </w:r>
      <w:r>
        <w:rPr>
          <w:rFonts w:hint="eastAsia" w:ascii="宋体" w:hAnsi="宋体"/>
          <w:color w:val="auto"/>
          <w:szCs w:val="21"/>
        </w:rPr>
        <w:t>投标报价文件</w:t>
      </w:r>
    </w:p>
    <w:p>
      <w:pPr>
        <w:numPr>
          <w:ilvl w:val="0"/>
          <w:numId w:val="21"/>
        </w:numPr>
        <w:snapToGrid w:val="0"/>
        <w:spacing w:beforeLines="50" w:line="280" w:lineRule="exact"/>
        <w:ind w:hanging="264"/>
        <w:rPr>
          <w:rFonts w:ascii="宋体" w:hAnsi="宋体"/>
          <w:color w:val="auto"/>
          <w:szCs w:val="21"/>
        </w:rPr>
      </w:pPr>
      <w:r>
        <w:rPr>
          <w:rFonts w:hint="eastAsia" w:ascii="宋体" w:hAnsi="宋体"/>
          <w:color w:val="auto"/>
          <w:szCs w:val="21"/>
        </w:rPr>
        <w:t>*</w:t>
      </w:r>
      <w:r>
        <w:rPr>
          <w:rFonts w:hint="eastAsia" w:ascii="宋体" w:hAnsi="宋体"/>
          <w:color w:val="auto"/>
        </w:rPr>
        <w:t>投标声明</w:t>
      </w:r>
    </w:p>
    <w:p>
      <w:pPr>
        <w:numPr>
          <w:ilvl w:val="0"/>
          <w:numId w:val="21"/>
        </w:numPr>
        <w:snapToGrid w:val="0"/>
        <w:spacing w:beforeLines="50" w:line="280" w:lineRule="exact"/>
        <w:ind w:hanging="264"/>
        <w:rPr>
          <w:rFonts w:ascii="宋体" w:hAnsi="宋体"/>
          <w:color w:val="auto"/>
          <w:szCs w:val="21"/>
        </w:rPr>
      </w:pPr>
      <w:r>
        <w:rPr>
          <w:rFonts w:hint="eastAsia" w:ascii="宋体" w:hAnsi="宋体"/>
          <w:color w:val="auto"/>
          <w:szCs w:val="21"/>
        </w:rPr>
        <w:t>*</w:t>
      </w:r>
      <w:r>
        <w:rPr>
          <w:rFonts w:hint="eastAsia" w:ascii="宋体" w:hAnsi="宋体"/>
          <w:color w:val="auto"/>
        </w:rPr>
        <w:t>开标一览表</w:t>
      </w:r>
    </w:p>
    <w:p>
      <w:pPr>
        <w:numPr>
          <w:ilvl w:val="0"/>
          <w:numId w:val="21"/>
        </w:numPr>
        <w:snapToGrid w:val="0"/>
        <w:spacing w:beforeLines="50" w:line="280" w:lineRule="exact"/>
        <w:ind w:hanging="264"/>
        <w:rPr>
          <w:rFonts w:ascii="宋体" w:hAnsi="宋体"/>
          <w:color w:val="auto"/>
          <w:szCs w:val="21"/>
        </w:rPr>
      </w:pPr>
      <w:r>
        <w:rPr>
          <w:rFonts w:hint="eastAsia" w:ascii="宋体" w:hAnsi="宋体"/>
          <w:color w:val="auto"/>
          <w:szCs w:val="21"/>
        </w:rPr>
        <w:t>*</w:t>
      </w:r>
      <w:r>
        <w:rPr>
          <w:rFonts w:hint="eastAsia" w:ascii="宋体" w:hAnsi="宋体"/>
          <w:color w:val="auto"/>
        </w:rPr>
        <w:t>投标货物报价详细说明表</w:t>
      </w:r>
    </w:p>
    <w:p>
      <w:pPr>
        <w:numPr>
          <w:ilvl w:val="1"/>
          <w:numId w:val="20"/>
        </w:numPr>
        <w:spacing w:beforeLines="50" w:line="320" w:lineRule="exact"/>
        <w:rPr>
          <w:rFonts w:ascii="宋体" w:hAnsi="宋体"/>
          <w:color w:val="auto"/>
          <w:szCs w:val="21"/>
        </w:rPr>
      </w:pPr>
      <w:r>
        <w:rPr>
          <w:rFonts w:hint="eastAsia" w:ascii="宋体" w:hAnsi="宋体"/>
          <w:color w:val="auto"/>
          <w:szCs w:val="21"/>
        </w:rPr>
        <w:tab/>
      </w:r>
      <w:r>
        <w:rPr>
          <w:rFonts w:hint="eastAsia" w:ascii="宋体" w:hAnsi="宋体"/>
          <w:color w:val="auto"/>
          <w:szCs w:val="21"/>
        </w:rPr>
        <w:t>商务响应文件</w:t>
      </w:r>
    </w:p>
    <w:p>
      <w:pPr>
        <w:numPr>
          <w:ilvl w:val="0"/>
          <w:numId w:val="22"/>
        </w:numPr>
        <w:snapToGrid w:val="0"/>
        <w:spacing w:beforeLines="50" w:line="280" w:lineRule="exact"/>
        <w:ind w:hanging="264"/>
        <w:rPr>
          <w:rFonts w:ascii="宋体" w:hAnsi="宋体"/>
          <w:color w:val="auto"/>
          <w:szCs w:val="21"/>
        </w:rPr>
      </w:pPr>
      <w:r>
        <w:rPr>
          <w:rFonts w:hint="eastAsia" w:ascii="宋体" w:hAnsi="宋体"/>
          <w:color w:val="auto"/>
          <w:szCs w:val="21"/>
        </w:rPr>
        <w:t>*</w:t>
      </w:r>
      <w:r>
        <w:rPr>
          <w:rFonts w:hint="eastAsia" w:ascii="宋体" w:hAnsi="宋体"/>
          <w:color w:val="auto"/>
        </w:rPr>
        <w:t>法定代表人授权委托书</w:t>
      </w:r>
    </w:p>
    <w:p>
      <w:pPr>
        <w:numPr>
          <w:ilvl w:val="0"/>
          <w:numId w:val="22"/>
        </w:numPr>
        <w:snapToGrid w:val="0"/>
        <w:spacing w:beforeLines="50" w:line="280" w:lineRule="exact"/>
        <w:ind w:hanging="264"/>
        <w:rPr>
          <w:rFonts w:ascii="宋体" w:hAnsi="宋体"/>
          <w:color w:val="auto"/>
          <w:szCs w:val="21"/>
        </w:rPr>
      </w:pPr>
      <w:r>
        <w:rPr>
          <w:rFonts w:hint="eastAsia" w:ascii="宋体" w:hAnsi="宋体"/>
          <w:color w:val="auto"/>
        </w:rPr>
        <w:t>资格证明文件</w:t>
      </w:r>
    </w:p>
    <w:p>
      <w:pPr>
        <w:numPr>
          <w:ilvl w:val="1"/>
          <w:numId w:val="23"/>
        </w:numPr>
        <w:spacing w:beforeLines="50" w:line="320" w:lineRule="exact"/>
        <w:ind w:firstLine="720"/>
        <w:rPr>
          <w:rFonts w:ascii="宋体" w:hAnsi="宋体"/>
          <w:color w:val="auto"/>
          <w:szCs w:val="21"/>
        </w:rPr>
      </w:pPr>
      <w:r>
        <w:rPr>
          <w:rFonts w:hint="eastAsia" w:ascii="宋体" w:hAnsi="宋体"/>
          <w:color w:val="auto"/>
          <w:szCs w:val="21"/>
        </w:rPr>
        <w:t>*营业执照(复印件，加盖公司公章)</w:t>
      </w:r>
    </w:p>
    <w:p>
      <w:pPr>
        <w:numPr>
          <w:ilvl w:val="1"/>
          <w:numId w:val="23"/>
        </w:numPr>
        <w:spacing w:line="320" w:lineRule="exact"/>
        <w:ind w:firstLine="720"/>
        <w:rPr>
          <w:rFonts w:ascii="宋体" w:hAnsi="宋体"/>
          <w:color w:val="auto"/>
          <w:szCs w:val="21"/>
        </w:rPr>
      </w:pPr>
      <w:r>
        <w:rPr>
          <w:rFonts w:hint="eastAsia" w:ascii="宋体" w:hAnsi="宋体"/>
          <w:color w:val="auto"/>
          <w:szCs w:val="21"/>
        </w:rPr>
        <w:t>*投标人近半年连续三个月单位税缴纳税收及社会保险证明材料(复印件盖公司公章)</w:t>
      </w:r>
    </w:p>
    <w:p>
      <w:pPr>
        <w:numPr>
          <w:ilvl w:val="1"/>
          <w:numId w:val="23"/>
        </w:numPr>
        <w:spacing w:line="320" w:lineRule="exact"/>
        <w:ind w:firstLine="720"/>
        <w:rPr>
          <w:rFonts w:ascii="宋体" w:hAnsi="宋体"/>
          <w:color w:val="auto"/>
          <w:szCs w:val="21"/>
        </w:rPr>
      </w:pPr>
      <w:r>
        <w:rPr>
          <w:rFonts w:hint="eastAsia" w:ascii="宋体" w:hAnsi="宋体"/>
          <w:color w:val="auto"/>
          <w:szCs w:val="21"/>
        </w:rPr>
        <w:t>投标人简介</w:t>
      </w:r>
    </w:p>
    <w:p>
      <w:pPr>
        <w:numPr>
          <w:ilvl w:val="0"/>
          <w:numId w:val="22"/>
        </w:numPr>
        <w:snapToGrid w:val="0"/>
        <w:spacing w:beforeLines="50" w:line="280" w:lineRule="exact"/>
        <w:ind w:hanging="264"/>
        <w:rPr>
          <w:rFonts w:ascii="宋体" w:hAnsi="宋体"/>
          <w:color w:val="auto"/>
          <w:szCs w:val="21"/>
        </w:rPr>
      </w:pPr>
      <w:r>
        <w:rPr>
          <w:rFonts w:hint="eastAsia" w:ascii="宋体" w:hAnsi="宋体"/>
          <w:color w:val="auto"/>
        </w:rPr>
        <w:t>商务条款偏离表</w:t>
      </w:r>
    </w:p>
    <w:p>
      <w:pPr>
        <w:numPr>
          <w:ilvl w:val="1"/>
          <w:numId w:val="20"/>
        </w:numPr>
        <w:spacing w:beforeLines="50" w:line="320" w:lineRule="exact"/>
        <w:rPr>
          <w:rFonts w:ascii="宋体" w:hAnsi="宋体"/>
          <w:color w:val="auto"/>
          <w:szCs w:val="21"/>
        </w:rPr>
      </w:pPr>
      <w:r>
        <w:rPr>
          <w:rFonts w:hint="eastAsia" w:ascii="宋体" w:hAnsi="宋体"/>
          <w:color w:val="auto"/>
          <w:szCs w:val="21"/>
        </w:rPr>
        <w:tab/>
      </w:r>
      <w:r>
        <w:rPr>
          <w:rFonts w:hint="eastAsia" w:ascii="宋体" w:hAnsi="宋体"/>
          <w:color w:val="auto"/>
          <w:szCs w:val="21"/>
        </w:rPr>
        <w:t>技术响应文件</w:t>
      </w:r>
    </w:p>
    <w:p>
      <w:pPr>
        <w:numPr>
          <w:ilvl w:val="0"/>
          <w:numId w:val="24"/>
        </w:numPr>
        <w:snapToGrid w:val="0"/>
        <w:spacing w:line="320" w:lineRule="exact"/>
        <w:ind w:hanging="331"/>
        <w:rPr>
          <w:rFonts w:ascii="宋体" w:hAnsi="宋体"/>
          <w:color w:val="auto"/>
          <w:szCs w:val="21"/>
        </w:rPr>
      </w:pPr>
      <w:r>
        <w:rPr>
          <w:rFonts w:hint="eastAsia" w:ascii="宋体" w:hAnsi="宋体"/>
          <w:color w:val="auto"/>
          <w:szCs w:val="21"/>
        </w:rPr>
        <w:t>投标货物技术偏离表</w:t>
      </w:r>
    </w:p>
    <w:p>
      <w:pPr>
        <w:numPr>
          <w:ilvl w:val="0"/>
          <w:numId w:val="24"/>
        </w:numPr>
        <w:snapToGrid w:val="0"/>
        <w:spacing w:line="320" w:lineRule="exact"/>
        <w:ind w:hanging="331"/>
        <w:rPr>
          <w:rFonts w:ascii="宋体" w:hAnsi="宋体"/>
          <w:color w:val="auto"/>
          <w:szCs w:val="21"/>
        </w:rPr>
      </w:pPr>
      <w:r>
        <w:rPr>
          <w:rFonts w:hint="eastAsia" w:ascii="宋体" w:hAnsi="宋体"/>
          <w:color w:val="auto"/>
          <w:szCs w:val="21"/>
        </w:rPr>
        <w:t>投标货物技术简要说明</w:t>
      </w:r>
    </w:p>
    <w:p>
      <w:pPr>
        <w:numPr>
          <w:ilvl w:val="0"/>
          <w:numId w:val="24"/>
        </w:numPr>
        <w:snapToGrid w:val="0"/>
        <w:spacing w:line="320" w:lineRule="exact"/>
        <w:ind w:hanging="331"/>
        <w:rPr>
          <w:rFonts w:ascii="宋体" w:hAnsi="宋体"/>
          <w:color w:val="auto"/>
          <w:szCs w:val="21"/>
        </w:rPr>
      </w:pPr>
      <w:r>
        <w:rPr>
          <w:rFonts w:hint="eastAsia" w:ascii="宋体" w:hAnsi="宋体"/>
          <w:color w:val="auto"/>
          <w:szCs w:val="21"/>
        </w:rPr>
        <w:t>*售后服务承诺书</w:t>
      </w:r>
    </w:p>
    <w:p>
      <w:pPr>
        <w:numPr>
          <w:ilvl w:val="0"/>
          <w:numId w:val="24"/>
        </w:numPr>
        <w:snapToGrid w:val="0"/>
        <w:spacing w:line="320" w:lineRule="exact"/>
        <w:ind w:hanging="331"/>
        <w:rPr>
          <w:rFonts w:ascii="宋体" w:hAnsi="宋体"/>
          <w:color w:val="auto"/>
          <w:szCs w:val="21"/>
        </w:rPr>
      </w:pPr>
      <w:r>
        <w:rPr>
          <w:rFonts w:hint="eastAsia" w:ascii="宋体" w:hAnsi="宋体"/>
          <w:color w:val="auto"/>
          <w:szCs w:val="21"/>
        </w:rPr>
        <w:t>投标货物彩色样本资料（及其他类似技术资料）</w:t>
      </w:r>
    </w:p>
    <w:p>
      <w:pPr>
        <w:numPr>
          <w:ilvl w:val="0"/>
          <w:numId w:val="24"/>
        </w:numPr>
        <w:snapToGrid w:val="0"/>
        <w:spacing w:line="320" w:lineRule="exact"/>
        <w:ind w:hanging="331"/>
        <w:rPr>
          <w:rFonts w:ascii="宋体" w:hAnsi="宋体"/>
          <w:b/>
          <w:color w:val="auto"/>
          <w:szCs w:val="21"/>
        </w:rPr>
      </w:pPr>
      <w:r>
        <w:rPr>
          <w:rFonts w:hint="eastAsia" w:ascii="宋体" w:hAnsi="宋体"/>
          <w:color w:val="auto"/>
          <w:szCs w:val="21"/>
        </w:rPr>
        <w:t>货物制造、验收规范等</w:t>
      </w:r>
    </w:p>
    <w:p>
      <w:pPr>
        <w:numPr>
          <w:ilvl w:val="0"/>
          <w:numId w:val="24"/>
        </w:numPr>
        <w:snapToGrid w:val="0"/>
        <w:spacing w:line="320" w:lineRule="exact"/>
        <w:ind w:hanging="331"/>
        <w:rPr>
          <w:rFonts w:ascii="宋体" w:hAnsi="宋体"/>
          <w:color w:val="auto"/>
          <w:szCs w:val="21"/>
        </w:rPr>
      </w:pPr>
      <w:r>
        <w:rPr>
          <w:rFonts w:hint="eastAsia" w:ascii="宋体" w:hAnsi="宋体"/>
          <w:color w:val="auto"/>
          <w:szCs w:val="21"/>
        </w:rPr>
        <w:t>投标产品的产品介绍、技术参数</w:t>
      </w:r>
    </w:p>
    <w:p>
      <w:pPr>
        <w:snapToGrid w:val="0"/>
        <w:spacing w:line="320" w:lineRule="exact"/>
        <w:rPr>
          <w:rFonts w:ascii="宋体" w:hAnsi="宋体"/>
          <w:color w:val="auto"/>
          <w:szCs w:val="21"/>
        </w:rPr>
      </w:pPr>
      <w:r>
        <w:rPr>
          <w:rFonts w:hint="eastAsia" w:ascii="宋体" w:hAnsi="宋体"/>
          <w:color w:val="auto"/>
          <w:szCs w:val="21"/>
        </w:rPr>
        <w:t>12.4 投标技术方案</w:t>
      </w:r>
    </w:p>
    <w:p>
      <w:pPr>
        <w:pStyle w:val="18"/>
        <w:adjustRightInd w:val="0"/>
        <w:snapToGrid w:val="0"/>
        <w:spacing w:line="320" w:lineRule="exact"/>
        <w:ind w:firstLine="525" w:firstLineChars="250"/>
        <w:rPr>
          <w:rFonts w:ascii="宋体" w:hAnsi="宋体"/>
          <w:bCs/>
          <w:color w:val="auto"/>
          <w:sz w:val="21"/>
          <w:szCs w:val="21"/>
        </w:rPr>
      </w:pPr>
      <w:r>
        <w:rPr>
          <w:rFonts w:hint="eastAsia" w:ascii="宋体" w:hAnsi="宋体"/>
          <w:bCs/>
          <w:color w:val="auto"/>
          <w:sz w:val="21"/>
          <w:szCs w:val="21"/>
        </w:rPr>
        <w:t>除了12.1、12.2、12.3条要求外，投标人的技术方案还应包含以下内容：</w:t>
      </w:r>
    </w:p>
    <w:p>
      <w:pPr>
        <w:numPr>
          <w:ilvl w:val="0"/>
          <w:numId w:val="25"/>
        </w:numPr>
        <w:snapToGrid w:val="0"/>
        <w:spacing w:line="320" w:lineRule="exact"/>
        <w:ind w:hanging="264"/>
        <w:rPr>
          <w:rFonts w:ascii="宋体" w:hAnsi="宋体"/>
          <w:color w:val="auto"/>
          <w:szCs w:val="21"/>
        </w:rPr>
      </w:pPr>
      <w:r>
        <w:rPr>
          <w:rFonts w:hint="eastAsia" w:ascii="宋体" w:hAnsi="宋体"/>
          <w:color w:val="auto"/>
          <w:szCs w:val="21"/>
        </w:rPr>
        <w:t>货物组成系统说明，货物主要技术资料和性能的详细描述，货物制造、安装（提供货物安装施工方案）、验收规范等；</w:t>
      </w:r>
    </w:p>
    <w:p>
      <w:pPr>
        <w:numPr>
          <w:ilvl w:val="0"/>
          <w:numId w:val="25"/>
        </w:numPr>
        <w:snapToGrid w:val="0"/>
        <w:spacing w:beforeLines="50" w:line="280" w:lineRule="exact"/>
        <w:ind w:hanging="264"/>
        <w:rPr>
          <w:rFonts w:ascii="宋体" w:hAnsi="宋体"/>
          <w:color w:val="auto"/>
          <w:szCs w:val="21"/>
        </w:rPr>
      </w:pPr>
      <w:r>
        <w:rPr>
          <w:rFonts w:hint="eastAsia" w:ascii="宋体" w:hAnsi="宋体"/>
          <w:color w:val="auto"/>
          <w:szCs w:val="21"/>
        </w:rPr>
        <w:t>关键元器件明细表（包括制造厂名和国别）；</w:t>
      </w:r>
    </w:p>
    <w:p>
      <w:pPr>
        <w:numPr>
          <w:ilvl w:val="0"/>
          <w:numId w:val="25"/>
        </w:numPr>
        <w:snapToGrid w:val="0"/>
        <w:spacing w:beforeLines="50" w:line="280" w:lineRule="exact"/>
        <w:ind w:hanging="264"/>
        <w:rPr>
          <w:rFonts w:ascii="宋体" w:hAnsi="宋体"/>
          <w:color w:val="auto"/>
          <w:szCs w:val="21"/>
        </w:rPr>
      </w:pPr>
      <w:r>
        <w:rPr>
          <w:rFonts w:hint="eastAsia" w:ascii="宋体" w:hAnsi="宋体"/>
          <w:color w:val="auto"/>
          <w:szCs w:val="21"/>
        </w:rPr>
        <w:t>详细的交货清单；</w:t>
      </w:r>
    </w:p>
    <w:p>
      <w:pPr>
        <w:numPr>
          <w:ilvl w:val="0"/>
          <w:numId w:val="25"/>
        </w:numPr>
        <w:snapToGrid w:val="0"/>
        <w:spacing w:beforeLines="50" w:line="280" w:lineRule="exact"/>
        <w:ind w:hanging="264"/>
        <w:rPr>
          <w:rFonts w:ascii="宋体" w:hAnsi="宋体"/>
          <w:color w:val="auto"/>
          <w:szCs w:val="21"/>
        </w:rPr>
      </w:pPr>
      <w:r>
        <w:rPr>
          <w:rFonts w:hint="eastAsia" w:ascii="宋体" w:hAnsi="宋体"/>
          <w:color w:val="auto"/>
          <w:szCs w:val="21"/>
        </w:rPr>
        <w:t xml:space="preserve">特殊工具及备件清单； </w:t>
      </w:r>
    </w:p>
    <w:p>
      <w:pPr>
        <w:numPr>
          <w:ilvl w:val="0"/>
          <w:numId w:val="25"/>
        </w:numPr>
        <w:snapToGrid w:val="0"/>
        <w:spacing w:beforeLines="50" w:line="280" w:lineRule="exact"/>
        <w:ind w:hanging="264"/>
        <w:rPr>
          <w:rFonts w:ascii="宋体" w:hAnsi="宋体"/>
          <w:color w:val="auto"/>
          <w:szCs w:val="21"/>
        </w:rPr>
      </w:pPr>
      <w:r>
        <w:rPr>
          <w:rFonts w:hint="eastAsia" w:ascii="宋体" w:hAnsi="宋体"/>
          <w:color w:val="auto"/>
          <w:szCs w:val="21"/>
        </w:rPr>
        <w:t>投标人推荐的供选择的配套货物表；</w:t>
      </w:r>
    </w:p>
    <w:p>
      <w:pPr>
        <w:numPr>
          <w:ilvl w:val="0"/>
          <w:numId w:val="25"/>
        </w:numPr>
        <w:snapToGrid w:val="0"/>
        <w:spacing w:beforeLines="50" w:line="320" w:lineRule="exact"/>
        <w:ind w:hanging="264"/>
        <w:rPr>
          <w:rFonts w:ascii="宋体" w:hAnsi="宋体"/>
          <w:color w:val="auto"/>
          <w:szCs w:val="21"/>
        </w:rPr>
      </w:pPr>
      <w:r>
        <w:rPr>
          <w:rFonts w:hint="eastAsia" w:ascii="宋体" w:hAnsi="宋体"/>
          <w:color w:val="auto"/>
          <w:szCs w:val="21"/>
        </w:rPr>
        <w:t>投标人提出的合理化建议（如对招标货物的规格、性能、材质、配套货物提出更为合</w:t>
      </w:r>
    </w:p>
    <w:p>
      <w:pPr>
        <w:snapToGrid w:val="0"/>
        <w:spacing w:beforeLines="50" w:line="320" w:lineRule="exact"/>
        <w:ind w:left="359" w:leftChars="171" w:firstLine="525" w:firstLineChars="250"/>
        <w:rPr>
          <w:rFonts w:ascii="宋体" w:hAnsi="宋体"/>
          <w:color w:val="auto"/>
          <w:szCs w:val="21"/>
        </w:rPr>
      </w:pPr>
      <w:r>
        <w:rPr>
          <w:rFonts w:hint="eastAsia" w:ascii="宋体" w:hAnsi="宋体"/>
          <w:color w:val="auto"/>
          <w:szCs w:val="21"/>
        </w:rPr>
        <w:t>理的替代方案等）。</w:t>
      </w:r>
    </w:p>
    <w:p>
      <w:pPr>
        <w:pStyle w:val="18"/>
        <w:adjustRightInd w:val="0"/>
        <w:snapToGrid w:val="0"/>
        <w:spacing w:beforeLines="50" w:line="320" w:lineRule="exact"/>
        <w:ind w:left="735" w:leftChars="350"/>
        <w:rPr>
          <w:rFonts w:ascii="宋体" w:hAnsi="宋体"/>
          <w:color w:val="auto"/>
          <w:sz w:val="21"/>
          <w:szCs w:val="21"/>
        </w:rPr>
      </w:pPr>
      <w:r>
        <w:rPr>
          <w:rFonts w:hint="eastAsia" w:ascii="宋体" w:hAnsi="宋体"/>
          <w:bCs/>
          <w:color w:val="auto"/>
          <w:sz w:val="21"/>
          <w:szCs w:val="21"/>
        </w:rPr>
        <w:t>投标文件中技术方案由投标人视需要自行编制。规格幅面应与正文一致，附于正文之后，与正文页码统一编目编码装订。</w:t>
      </w:r>
    </w:p>
    <w:p>
      <w:pPr>
        <w:pStyle w:val="4"/>
        <w:numPr>
          <w:ilvl w:val="0"/>
          <w:numId w:val="6"/>
        </w:numPr>
        <w:adjustRightInd/>
        <w:spacing w:beforeLines="100" w:after="0" w:line="360" w:lineRule="exact"/>
        <w:textAlignment w:val="auto"/>
        <w:rPr>
          <w:rFonts w:ascii="宋体" w:hAnsi="宋体"/>
          <w:color w:val="auto"/>
          <w:sz w:val="24"/>
        </w:rPr>
      </w:pPr>
      <w:bookmarkStart w:id="73" w:name="_Toc134155418"/>
      <w:bookmarkStart w:id="74" w:name="_Toc103569373"/>
      <w:bookmarkStart w:id="75" w:name="_Toc193643695"/>
      <w:bookmarkStart w:id="76" w:name="_Toc261206958"/>
      <w:r>
        <w:rPr>
          <w:rFonts w:hint="eastAsia" w:ascii="宋体" w:hAnsi="宋体"/>
          <w:color w:val="auto"/>
          <w:sz w:val="24"/>
        </w:rPr>
        <w:tab/>
      </w:r>
      <w:bookmarkStart w:id="77" w:name="_Toc384934447"/>
      <w:r>
        <w:rPr>
          <w:rFonts w:hint="eastAsia" w:ascii="宋体" w:hAnsi="宋体"/>
          <w:color w:val="auto"/>
          <w:sz w:val="24"/>
        </w:rPr>
        <w:t>投标内容填写说明</w:t>
      </w:r>
      <w:bookmarkEnd w:id="73"/>
      <w:bookmarkEnd w:id="74"/>
      <w:bookmarkEnd w:id="75"/>
      <w:bookmarkEnd w:id="76"/>
      <w:bookmarkEnd w:id="77"/>
    </w:p>
    <w:p>
      <w:pPr>
        <w:numPr>
          <w:ilvl w:val="1"/>
          <w:numId w:val="26"/>
        </w:numPr>
        <w:spacing w:beforeLines="50" w:line="320" w:lineRule="exact"/>
        <w:rPr>
          <w:rFonts w:ascii="宋体" w:hAnsi="宋体"/>
          <w:color w:val="auto"/>
          <w:szCs w:val="21"/>
        </w:rPr>
      </w:pPr>
      <w:r>
        <w:rPr>
          <w:rFonts w:hint="eastAsia" w:ascii="宋体" w:hAnsi="宋体"/>
          <w:color w:val="auto"/>
          <w:szCs w:val="21"/>
        </w:rPr>
        <w:tab/>
      </w:r>
      <w:r>
        <w:rPr>
          <w:rFonts w:hint="eastAsia" w:ascii="宋体" w:hAnsi="宋体"/>
          <w:color w:val="auto"/>
          <w:szCs w:val="21"/>
        </w:rPr>
        <w:t>投标人必须按招标文件提供的格式制作投标文件（表格可以按同样格式扩展）。投标文件按A4幅面统一格式填写，装订成册。</w:t>
      </w:r>
      <w:r>
        <w:rPr>
          <w:rFonts w:hint="eastAsia" w:ascii="宋体" w:hAnsi="宋体"/>
          <w:b/>
          <w:color w:val="auto"/>
          <w:szCs w:val="21"/>
        </w:rPr>
        <w:t>投标文件不允许活页夹装订。</w:t>
      </w:r>
    </w:p>
    <w:p>
      <w:pPr>
        <w:pStyle w:val="4"/>
        <w:numPr>
          <w:ilvl w:val="0"/>
          <w:numId w:val="6"/>
        </w:numPr>
        <w:adjustRightInd/>
        <w:spacing w:beforeLines="100" w:after="0" w:line="360" w:lineRule="exact"/>
        <w:textAlignment w:val="auto"/>
        <w:rPr>
          <w:rFonts w:ascii="宋体" w:hAnsi="宋体"/>
          <w:color w:val="auto"/>
          <w:sz w:val="24"/>
        </w:rPr>
      </w:pPr>
      <w:bookmarkStart w:id="78" w:name="_Toc134155419"/>
      <w:bookmarkStart w:id="79" w:name="_Toc103569374"/>
      <w:bookmarkStart w:id="80" w:name="_Toc261206959"/>
      <w:bookmarkStart w:id="81" w:name="_Toc193643696"/>
      <w:r>
        <w:rPr>
          <w:rFonts w:hint="eastAsia" w:ascii="宋体" w:hAnsi="宋体"/>
          <w:color w:val="auto"/>
          <w:sz w:val="24"/>
        </w:rPr>
        <w:tab/>
      </w:r>
      <w:bookmarkStart w:id="82" w:name="_Toc384934448"/>
      <w:r>
        <w:rPr>
          <w:rFonts w:hint="eastAsia" w:ascii="宋体" w:hAnsi="宋体"/>
          <w:color w:val="auto"/>
          <w:sz w:val="24"/>
        </w:rPr>
        <w:t>投标报价</w:t>
      </w:r>
      <w:bookmarkEnd w:id="78"/>
      <w:bookmarkEnd w:id="79"/>
      <w:bookmarkEnd w:id="80"/>
      <w:bookmarkEnd w:id="81"/>
      <w:bookmarkEnd w:id="82"/>
    </w:p>
    <w:p>
      <w:pPr>
        <w:numPr>
          <w:ilvl w:val="1"/>
          <w:numId w:val="27"/>
        </w:numPr>
        <w:spacing w:beforeLines="50" w:line="320" w:lineRule="exact"/>
        <w:rPr>
          <w:rFonts w:ascii="宋体" w:hAnsi="宋体"/>
          <w:color w:val="auto"/>
          <w:szCs w:val="21"/>
        </w:rPr>
      </w:pPr>
      <w:r>
        <w:rPr>
          <w:rFonts w:hint="eastAsia" w:ascii="宋体" w:hAnsi="宋体"/>
          <w:color w:val="auto"/>
          <w:szCs w:val="21"/>
        </w:rPr>
        <w:tab/>
      </w:r>
      <w:r>
        <w:rPr>
          <w:rFonts w:hint="eastAsia" w:ascii="宋体" w:hAnsi="宋体"/>
          <w:color w:val="auto"/>
          <w:szCs w:val="21"/>
        </w:rPr>
        <w:t>所有投标均以人民币报价</w:t>
      </w:r>
      <w:r>
        <w:rPr>
          <w:rFonts w:hint="eastAsia" w:ascii="宋体" w:hAnsi="宋体"/>
          <w:bCs/>
          <w:color w:val="auto"/>
          <w:szCs w:val="21"/>
        </w:rPr>
        <w:t>。</w:t>
      </w:r>
    </w:p>
    <w:p>
      <w:pPr>
        <w:numPr>
          <w:ilvl w:val="1"/>
          <w:numId w:val="27"/>
        </w:numPr>
        <w:spacing w:beforeLines="50" w:line="320" w:lineRule="exact"/>
        <w:rPr>
          <w:rFonts w:ascii="宋体" w:hAnsi="宋体"/>
          <w:color w:val="auto"/>
          <w:szCs w:val="21"/>
        </w:rPr>
      </w:pPr>
      <w:r>
        <w:rPr>
          <w:rFonts w:hint="eastAsia" w:ascii="宋体" w:hAnsi="宋体"/>
          <w:color w:val="auto"/>
          <w:szCs w:val="21"/>
        </w:rPr>
        <w:tab/>
      </w:r>
      <w:r>
        <w:rPr>
          <w:rFonts w:hint="eastAsia" w:ascii="宋体" w:hAnsi="宋体"/>
          <w:color w:val="auto"/>
          <w:szCs w:val="21"/>
        </w:rPr>
        <w:t>投标人应以招标内容为基础提出一套由法定代表人或授权代表签署的完整的报价。投标人要按投标货物数量、价格表（统一格式）的内容填写货物单价、总价及其它事项，由法定代表人或授权代表签署并加盖单位公章。</w:t>
      </w:r>
    </w:p>
    <w:p>
      <w:pPr>
        <w:numPr>
          <w:ilvl w:val="1"/>
          <w:numId w:val="27"/>
        </w:numPr>
        <w:spacing w:beforeLines="50" w:line="320" w:lineRule="exact"/>
        <w:rPr>
          <w:rFonts w:ascii="宋体" w:hAnsi="宋体"/>
          <w:color w:val="auto"/>
          <w:szCs w:val="21"/>
        </w:rPr>
      </w:pPr>
      <w:r>
        <w:rPr>
          <w:rFonts w:hint="eastAsia" w:ascii="宋体" w:hAnsi="宋体"/>
          <w:color w:val="auto"/>
          <w:szCs w:val="21"/>
        </w:rPr>
        <w:tab/>
      </w:r>
      <w:r>
        <w:rPr>
          <w:rFonts w:hint="eastAsia" w:ascii="宋体" w:hAnsi="宋体"/>
          <w:color w:val="auto"/>
          <w:szCs w:val="21"/>
        </w:rPr>
        <w:tab/>
      </w:r>
      <w:r>
        <w:rPr>
          <w:rFonts w:hint="eastAsia" w:ascii="宋体" w:hAnsi="宋体"/>
          <w:color w:val="auto"/>
          <w:szCs w:val="21"/>
        </w:rPr>
        <w:t>对于非标准货物的投标，还应填报报价明细表（报价明细表格式由投标人自行设计）。</w:t>
      </w:r>
    </w:p>
    <w:p>
      <w:pPr>
        <w:numPr>
          <w:ilvl w:val="1"/>
          <w:numId w:val="27"/>
        </w:numPr>
        <w:spacing w:beforeLines="50" w:line="320" w:lineRule="exact"/>
        <w:rPr>
          <w:rFonts w:ascii="宋体" w:hAnsi="宋体"/>
          <w:color w:val="auto"/>
          <w:szCs w:val="21"/>
        </w:rPr>
      </w:pPr>
      <w:r>
        <w:rPr>
          <w:rFonts w:hint="eastAsia" w:ascii="宋体" w:hAnsi="宋体"/>
          <w:color w:val="auto"/>
          <w:szCs w:val="21"/>
        </w:rPr>
        <w:tab/>
      </w:r>
      <w:r>
        <w:rPr>
          <w:rFonts w:hint="eastAsia" w:ascii="宋体" w:hAnsi="宋体"/>
          <w:color w:val="auto"/>
          <w:szCs w:val="21"/>
        </w:rPr>
        <w:t>如遇本须知第12.4.(6)条情况，引起价格变动时，应加以详细说明。除此以外，招标人不接受任何选择报价，对每一种</w:t>
      </w:r>
      <w:r>
        <w:rPr>
          <w:rFonts w:hint="eastAsia" w:ascii="宋体" w:hAnsi="宋体" w:cs="宋体"/>
          <w:color w:val="auto"/>
          <w:szCs w:val="21"/>
        </w:rPr>
        <w:t>规格货物</w:t>
      </w:r>
      <w:r>
        <w:rPr>
          <w:rFonts w:hint="eastAsia" w:ascii="宋体" w:hAnsi="宋体"/>
          <w:color w:val="auto"/>
          <w:szCs w:val="21"/>
        </w:rPr>
        <w:t>只允许有一个报价。</w:t>
      </w:r>
    </w:p>
    <w:p>
      <w:pPr>
        <w:numPr>
          <w:ilvl w:val="1"/>
          <w:numId w:val="27"/>
        </w:numPr>
        <w:spacing w:beforeLines="50" w:line="320" w:lineRule="exact"/>
        <w:rPr>
          <w:rFonts w:ascii="宋体" w:hAnsi="宋体"/>
          <w:color w:val="auto"/>
          <w:szCs w:val="21"/>
        </w:rPr>
      </w:pPr>
      <w:r>
        <w:rPr>
          <w:rFonts w:hint="eastAsia" w:ascii="宋体" w:hAnsi="宋体"/>
          <w:color w:val="auto"/>
          <w:szCs w:val="21"/>
        </w:rPr>
        <w:tab/>
      </w:r>
      <w:r>
        <w:rPr>
          <w:rFonts w:hint="eastAsia" w:ascii="宋体" w:hAnsi="宋体"/>
          <w:color w:val="auto"/>
          <w:szCs w:val="21"/>
        </w:rPr>
        <w:t>投标价格表填写时应注意下列要求(报价含下列内容):</w:t>
      </w:r>
    </w:p>
    <w:p>
      <w:pPr>
        <w:snapToGrid w:val="0"/>
        <w:spacing w:beforeLines="50" w:line="280" w:lineRule="exact"/>
        <w:ind w:firstLine="420" w:firstLineChars="200"/>
        <w:rPr>
          <w:rFonts w:ascii="宋体" w:hAnsi="宋体"/>
          <w:color w:val="auto"/>
          <w:szCs w:val="21"/>
        </w:rPr>
      </w:pPr>
      <w:r>
        <w:rPr>
          <w:rFonts w:hint="eastAsia" w:ascii="宋体" w:hAnsi="宋体"/>
          <w:color w:val="auto"/>
          <w:szCs w:val="21"/>
        </w:rPr>
        <w:t>（1）技术规格中特别要求的配合安装调试的费用、培训及其他附带服务的费用。</w:t>
      </w:r>
    </w:p>
    <w:p>
      <w:pPr>
        <w:snapToGrid w:val="0"/>
        <w:spacing w:beforeLines="50" w:line="320" w:lineRule="exact"/>
        <w:ind w:firstLine="420" w:firstLineChars="200"/>
        <w:rPr>
          <w:rFonts w:ascii="宋体" w:hAnsi="宋体"/>
          <w:color w:val="auto"/>
          <w:szCs w:val="21"/>
        </w:rPr>
      </w:pPr>
      <w:r>
        <w:rPr>
          <w:rFonts w:hint="eastAsia" w:ascii="宋体" w:hAnsi="宋体"/>
          <w:color w:val="auto"/>
          <w:szCs w:val="21"/>
        </w:rPr>
        <w:t>（2）报价应包括制造和组装该货物所使用的零部件、原材料及货物本身已支付和将要支付的各类税费（其各类税费可不分别填写，计入交货价内即可）。</w:t>
      </w:r>
    </w:p>
    <w:p>
      <w:pPr>
        <w:numPr>
          <w:ilvl w:val="1"/>
          <w:numId w:val="27"/>
        </w:numPr>
        <w:spacing w:beforeLines="50" w:line="320" w:lineRule="exact"/>
        <w:rPr>
          <w:rFonts w:ascii="宋体" w:hAnsi="宋体"/>
          <w:bCs/>
          <w:color w:val="auto"/>
          <w:szCs w:val="21"/>
        </w:rPr>
      </w:pPr>
      <w:r>
        <w:rPr>
          <w:rFonts w:hint="eastAsia" w:ascii="宋体" w:hAnsi="宋体"/>
          <w:bCs/>
          <w:color w:val="auto"/>
          <w:szCs w:val="21"/>
        </w:rPr>
        <w:t>投标报价含货物到交货地点的运输费、装卸费、运杂费、保险费、安装费等费用。</w:t>
      </w:r>
    </w:p>
    <w:p>
      <w:pPr>
        <w:pStyle w:val="4"/>
        <w:numPr>
          <w:ilvl w:val="0"/>
          <w:numId w:val="6"/>
        </w:numPr>
        <w:adjustRightInd/>
        <w:spacing w:beforeLines="100" w:after="0" w:line="360" w:lineRule="exact"/>
        <w:textAlignment w:val="auto"/>
        <w:rPr>
          <w:rFonts w:ascii="宋体" w:hAnsi="宋体"/>
          <w:color w:val="auto"/>
          <w:sz w:val="24"/>
        </w:rPr>
      </w:pPr>
      <w:bookmarkStart w:id="83" w:name="_Toc193643697"/>
      <w:bookmarkStart w:id="84" w:name="_Toc261206960"/>
      <w:r>
        <w:rPr>
          <w:rFonts w:hint="eastAsia" w:ascii="宋体" w:hAnsi="宋体"/>
          <w:color w:val="auto"/>
          <w:sz w:val="24"/>
        </w:rPr>
        <w:tab/>
      </w:r>
      <w:bookmarkStart w:id="85" w:name="_Toc384934449"/>
      <w:r>
        <w:rPr>
          <w:rFonts w:hint="eastAsia" w:ascii="宋体" w:hAnsi="宋体"/>
          <w:color w:val="auto"/>
          <w:sz w:val="24"/>
        </w:rPr>
        <w:t>商务响应文件</w:t>
      </w:r>
      <w:bookmarkEnd w:id="83"/>
      <w:r>
        <w:rPr>
          <w:rFonts w:hint="eastAsia" w:ascii="宋体" w:hAnsi="宋体"/>
          <w:color w:val="auto"/>
          <w:sz w:val="24"/>
        </w:rPr>
        <w:t>及技术响应文件</w:t>
      </w:r>
      <w:bookmarkEnd w:id="84"/>
      <w:bookmarkEnd w:id="85"/>
    </w:p>
    <w:p>
      <w:pPr>
        <w:numPr>
          <w:ilvl w:val="1"/>
          <w:numId w:val="28"/>
        </w:numPr>
        <w:spacing w:beforeLines="50" w:line="320" w:lineRule="exact"/>
        <w:rPr>
          <w:rFonts w:ascii="宋体" w:hAnsi="宋体"/>
          <w:color w:val="auto"/>
          <w:szCs w:val="21"/>
        </w:rPr>
      </w:pPr>
      <w:r>
        <w:rPr>
          <w:rFonts w:hint="eastAsia" w:ascii="宋体" w:hAnsi="宋体"/>
          <w:color w:val="auto"/>
          <w:szCs w:val="21"/>
        </w:rPr>
        <w:tab/>
      </w:r>
      <w:r>
        <w:rPr>
          <w:rFonts w:hint="eastAsia" w:ascii="宋体" w:hAnsi="宋体"/>
          <w:color w:val="auto"/>
          <w:szCs w:val="21"/>
        </w:rPr>
        <w:t>商务响应文件</w:t>
      </w:r>
    </w:p>
    <w:p>
      <w:pPr>
        <w:numPr>
          <w:ilvl w:val="0"/>
          <w:numId w:val="29"/>
        </w:numPr>
        <w:snapToGrid w:val="0"/>
        <w:spacing w:beforeLines="50" w:line="320" w:lineRule="exact"/>
        <w:ind w:left="623" w:hanging="510"/>
        <w:rPr>
          <w:rFonts w:ascii="宋体" w:hAnsi="宋体"/>
          <w:color w:val="auto"/>
          <w:szCs w:val="21"/>
        </w:rPr>
      </w:pPr>
      <w:r>
        <w:rPr>
          <w:rFonts w:hint="eastAsia" w:ascii="宋体" w:hAnsi="宋体"/>
          <w:color w:val="auto"/>
          <w:szCs w:val="21"/>
        </w:rPr>
        <w:t>投标人对投标范围、交货期、付款方式、服务要求及合同条款等的响应情况应在商务响应文件中一一对应说明，如有偏离应明确提出。</w:t>
      </w:r>
    </w:p>
    <w:p>
      <w:pPr>
        <w:numPr>
          <w:ilvl w:val="0"/>
          <w:numId w:val="29"/>
        </w:numPr>
        <w:snapToGrid w:val="0"/>
        <w:spacing w:beforeLines="50" w:line="280" w:lineRule="exact"/>
        <w:rPr>
          <w:rFonts w:ascii="宋体" w:hAnsi="宋体"/>
          <w:color w:val="auto"/>
          <w:szCs w:val="21"/>
        </w:rPr>
      </w:pPr>
      <w:r>
        <w:rPr>
          <w:rFonts w:hint="eastAsia" w:ascii="宋体" w:hAnsi="宋体"/>
          <w:color w:val="auto"/>
          <w:szCs w:val="21"/>
        </w:rPr>
        <w:t>投标人必须提供12条规定的带“*”号的条款内容，否则，其投标可能被拒绝。</w:t>
      </w:r>
    </w:p>
    <w:p>
      <w:pPr>
        <w:numPr>
          <w:ilvl w:val="1"/>
          <w:numId w:val="28"/>
        </w:numPr>
        <w:spacing w:beforeLines="50" w:line="320" w:lineRule="exact"/>
        <w:rPr>
          <w:rFonts w:ascii="宋体" w:hAnsi="宋体"/>
          <w:color w:val="auto"/>
          <w:szCs w:val="21"/>
        </w:rPr>
      </w:pPr>
      <w:r>
        <w:rPr>
          <w:rFonts w:hint="eastAsia" w:ascii="宋体" w:hAnsi="宋体"/>
          <w:color w:val="auto"/>
          <w:szCs w:val="21"/>
        </w:rPr>
        <w:tab/>
      </w:r>
      <w:r>
        <w:rPr>
          <w:rFonts w:hint="eastAsia" w:ascii="宋体" w:hAnsi="宋体"/>
          <w:color w:val="auto"/>
          <w:szCs w:val="21"/>
        </w:rPr>
        <w:t>技术响应文件</w:t>
      </w:r>
    </w:p>
    <w:p>
      <w:pPr>
        <w:numPr>
          <w:ilvl w:val="0"/>
          <w:numId w:val="30"/>
        </w:numPr>
        <w:snapToGrid w:val="0"/>
        <w:spacing w:beforeLines="50" w:line="320" w:lineRule="exact"/>
        <w:rPr>
          <w:rFonts w:ascii="宋体" w:hAnsi="宋体"/>
          <w:color w:val="auto"/>
          <w:szCs w:val="21"/>
        </w:rPr>
      </w:pPr>
      <w:r>
        <w:rPr>
          <w:rFonts w:hint="eastAsia" w:ascii="宋体" w:hAnsi="宋体"/>
          <w:color w:val="auto"/>
          <w:szCs w:val="21"/>
        </w:rPr>
        <w:t>技术响应文件可以是文字资料、图纸和数据，包括货物主要技术性能的详细描述资料；</w:t>
      </w:r>
    </w:p>
    <w:p>
      <w:pPr>
        <w:numPr>
          <w:ilvl w:val="0"/>
          <w:numId w:val="30"/>
        </w:numPr>
        <w:snapToGrid w:val="0"/>
        <w:spacing w:beforeLines="50" w:line="280" w:lineRule="exact"/>
        <w:rPr>
          <w:rFonts w:ascii="宋体" w:hAnsi="宋体"/>
          <w:color w:val="auto"/>
          <w:szCs w:val="21"/>
        </w:rPr>
      </w:pPr>
      <w:r>
        <w:rPr>
          <w:rFonts w:hint="eastAsia" w:ascii="宋体" w:hAnsi="宋体"/>
          <w:color w:val="auto"/>
          <w:szCs w:val="21"/>
        </w:rPr>
        <w:t>投标人必须提供12条规定的带“*”号的条款内容，否则，其投标可能被拒绝。</w:t>
      </w:r>
    </w:p>
    <w:p>
      <w:pPr>
        <w:pStyle w:val="4"/>
        <w:numPr>
          <w:ilvl w:val="0"/>
          <w:numId w:val="6"/>
        </w:numPr>
        <w:adjustRightInd/>
        <w:spacing w:beforeLines="100" w:after="0" w:line="360" w:lineRule="exact"/>
        <w:textAlignment w:val="auto"/>
        <w:rPr>
          <w:rFonts w:ascii="宋体" w:hAnsi="宋体"/>
          <w:color w:val="auto"/>
          <w:sz w:val="24"/>
        </w:rPr>
      </w:pPr>
      <w:bookmarkStart w:id="86" w:name="_Toc103569375"/>
      <w:bookmarkStart w:id="87" w:name="_Toc134155420"/>
      <w:bookmarkStart w:id="88" w:name="_Toc193643698"/>
      <w:bookmarkStart w:id="89" w:name="_Toc261206961"/>
      <w:r>
        <w:rPr>
          <w:rFonts w:hint="eastAsia" w:ascii="宋体" w:hAnsi="宋体"/>
          <w:color w:val="auto"/>
          <w:sz w:val="24"/>
        </w:rPr>
        <w:tab/>
      </w:r>
      <w:bookmarkStart w:id="90" w:name="_Toc384934450"/>
      <w:r>
        <w:rPr>
          <w:rFonts w:hint="eastAsia" w:ascii="宋体" w:hAnsi="宋体"/>
          <w:color w:val="auto"/>
          <w:sz w:val="24"/>
        </w:rPr>
        <w:t>投标保证金</w:t>
      </w:r>
      <w:bookmarkEnd w:id="86"/>
      <w:bookmarkEnd w:id="87"/>
      <w:bookmarkEnd w:id="88"/>
      <w:bookmarkEnd w:id="89"/>
      <w:bookmarkEnd w:id="90"/>
    </w:p>
    <w:p>
      <w:pPr>
        <w:pStyle w:val="18"/>
        <w:adjustRightInd w:val="0"/>
        <w:snapToGrid w:val="0"/>
        <w:spacing w:beforeLines="20" w:afterLines="20" w:line="320" w:lineRule="exact"/>
        <w:ind w:left="680"/>
        <w:rPr>
          <w:rFonts w:ascii="宋体" w:hAnsi="宋体"/>
          <w:bCs/>
          <w:color w:val="auto"/>
          <w:sz w:val="21"/>
          <w:szCs w:val="21"/>
        </w:rPr>
      </w:pPr>
      <w:r>
        <w:rPr>
          <w:rFonts w:hint="eastAsia" w:ascii="宋体" w:hAnsi="宋体"/>
          <w:bCs/>
          <w:color w:val="auto"/>
          <w:sz w:val="21"/>
          <w:szCs w:val="21"/>
        </w:rPr>
        <w:t>投标保证金为投标文件的组成部分之一。投标保证金用于保护本次招标免受投标人的行为而引起的风险。</w:t>
      </w:r>
    </w:p>
    <w:p>
      <w:pPr>
        <w:numPr>
          <w:ilvl w:val="1"/>
          <w:numId w:val="31"/>
        </w:numPr>
        <w:spacing w:beforeLines="50" w:line="320" w:lineRule="exact"/>
        <w:rPr>
          <w:rFonts w:ascii="宋体" w:hAnsi="宋体"/>
          <w:color w:val="auto"/>
          <w:szCs w:val="21"/>
        </w:rPr>
      </w:pPr>
      <w:r>
        <w:rPr>
          <w:rFonts w:hint="eastAsia" w:ascii="宋体" w:hAnsi="宋体"/>
          <w:color w:val="auto"/>
          <w:szCs w:val="21"/>
        </w:rPr>
        <w:tab/>
      </w:r>
      <w:r>
        <w:rPr>
          <w:rFonts w:hint="eastAsia" w:ascii="宋体" w:hAnsi="宋体"/>
          <w:color w:val="auto"/>
          <w:szCs w:val="21"/>
        </w:rPr>
        <w:t>投标人应向招标人交纳投标保证金</w:t>
      </w:r>
      <w:r>
        <w:rPr>
          <w:rFonts w:hint="eastAsia" w:ascii="宋体" w:hAnsi="宋体"/>
          <w:bCs/>
          <w:color w:val="auto"/>
        </w:rPr>
        <w:t>人民币5000元</w:t>
      </w:r>
      <w:r>
        <w:rPr>
          <w:rFonts w:hint="eastAsia" w:ascii="宋体" w:hAnsi="宋体"/>
          <w:color w:val="auto"/>
          <w:szCs w:val="21"/>
        </w:rPr>
        <w:t>。</w:t>
      </w:r>
    </w:p>
    <w:p>
      <w:pPr>
        <w:numPr>
          <w:ilvl w:val="1"/>
          <w:numId w:val="31"/>
        </w:numPr>
        <w:spacing w:beforeLines="50" w:line="320" w:lineRule="exact"/>
        <w:rPr>
          <w:rFonts w:ascii="宋体" w:hAnsi="宋体"/>
          <w:color w:val="auto"/>
          <w:szCs w:val="21"/>
        </w:rPr>
      </w:pPr>
      <w:r>
        <w:rPr>
          <w:rFonts w:hint="eastAsia" w:ascii="宋体" w:hAnsi="宋体"/>
          <w:color w:val="auto"/>
          <w:szCs w:val="21"/>
        </w:rPr>
        <w:t>投标保证金交纳方式：投标保证金必须在2018年11月16 日上午9:00之前交至湖南工程学院财务处，逾期或未交投标保证金的投标将被拒绝接受。</w:t>
      </w:r>
      <w:r>
        <w:rPr>
          <w:rFonts w:hint="eastAsia" w:ascii="宋体" w:hAnsi="宋体"/>
          <w:color w:val="auto"/>
        </w:rPr>
        <w:t xml:space="preserve">     </w:t>
      </w:r>
    </w:p>
    <w:p>
      <w:pPr>
        <w:numPr>
          <w:ilvl w:val="1"/>
          <w:numId w:val="31"/>
        </w:numPr>
        <w:spacing w:beforeLines="50" w:line="320" w:lineRule="exact"/>
        <w:rPr>
          <w:rFonts w:ascii="宋体" w:hAnsi="宋体"/>
          <w:color w:val="auto"/>
          <w:szCs w:val="21"/>
        </w:rPr>
      </w:pPr>
      <w:r>
        <w:rPr>
          <w:rFonts w:hint="eastAsia" w:ascii="宋体" w:hAnsi="宋体"/>
          <w:color w:val="auto"/>
          <w:szCs w:val="21"/>
        </w:rPr>
        <w:tab/>
      </w:r>
      <w:r>
        <w:rPr>
          <w:rFonts w:hint="eastAsia" w:ascii="宋体" w:hAnsi="宋体"/>
          <w:color w:val="auto"/>
          <w:szCs w:val="21"/>
        </w:rPr>
        <w:t>在投标截止时间前未提交足额投标保证金的投标，将被视为投标无效。</w:t>
      </w:r>
    </w:p>
    <w:p>
      <w:pPr>
        <w:numPr>
          <w:ilvl w:val="1"/>
          <w:numId w:val="31"/>
        </w:numPr>
        <w:spacing w:beforeLines="50" w:line="320" w:lineRule="exact"/>
        <w:rPr>
          <w:rFonts w:ascii="宋体" w:hAnsi="宋体"/>
          <w:color w:val="auto"/>
          <w:szCs w:val="21"/>
        </w:rPr>
      </w:pPr>
      <w:r>
        <w:rPr>
          <w:rFonts w:hint="eastAsia" w:ascii="宋体" w:hAnsi="宋体"/>
          <w:color w:val="auto"/>
          <w:szCs w:val="21"/>
        </w:rPr>
        <w:tab/>
      </w:r>
      <w:r>
        <w:rPr>
          <w:rFonts w:hint="eastAsia" w:ascii="宋体" w:hAnsi="宋体"/>
          <w:color w:val="auto"/>
          <w:szCs w:val="21"/>
        </w:rPr>
        <w:t>中标人的投标保证金作为履约保证金继续留存，货物验收完工后5个工作日内无息退还。</w:t>
      </w:r>
    </w:p>
    <w:p>
      <w:pPr>
        <w:numPr>
          <w:ilvl w:val="1"/>
          <w:numId w:val="31"/>
        </w:numPr>
        <w:spacing w:beforeLines="50" w:line="320" w:lineRule="exact"/>
        <w:rPr>
          <w:rFonts w:ascii="宋体" w:hAnsi="宋体"/>
          <w:color w:val="auto"/>
          <w:szCs w:val="21"/>
        </w:rPr>
      </w:pPr>
      <w:r>
        <w:rPr>
          <w:rFonts w:hint="eastAsia" w:ascii="宋体" w:hAnsi="宋体"/>
          <w:color w:val="auto"/>
          <w:szCs w:val="21"/>
        </w:rPr>
        <w:tab/>
      </w:r>
      <w:r>
        <w:rPr>
          <w:rFonts w:hint="eastAsia" w:ascii="宋体" w:hAnsi="宋体"/>
          <w:color w:val="auto"/>
          <w:szCs w:val="21"/>
        </w:rPr>
        <w:t>未中标的投标人的投标保证金将在评标结束后10个工作日内无息退还。</w:t>
      </w:r>
    </w:p>
    <w:p>
      <w:pPr>
        <w:numPr>
          <w:ilvl w:val="1"/>
          <w:numId w:val="31"/>
        </w:numPr>
        <w:spacing w:beforeLines="50" w:line="320" w:lineRule="exact"/>
        <w:rPr>
          <w:rFonts w:ascii="宋体" w:hAnsi="宋体"/>
          <w:color w:val="auto"/>
          <w:szCs w:val="21"/>
        </w:rPr>
      </w:pPr>
      <w:r>
        <w:rPr>
          <w:rFonts w:hint="eastAsia" w:ascii="宋体" w:hAnsi="宋体"/>
          <w:color w:val="auto"/>
          <w:szCs w:val="21"/>
        </w:rPr>
        <w:tab/>
      </w:r>
      <w:r>
        <w:rPr>
          <w:rFonts w:hint="eastAsia" w:ascii="宋体" w:hAnsi="宋体"/>
          <w:color w:val="auto"/>
          <w:szCs w:val="21"/>
        </w:rPr>
        <w:t>发生下列情况之一，保证金将不予退还。</w:t>
      </w:r>
    </w:p>
    <w:p>
      <w:pPr>
        <w:numPr>
          <w:ilvl w:val="0"/>
          <w:numId w:val="32"/>
        </w:numPr>
        <w:snapToGrid w:val="0"/>
        <w:spacing w:beforeLines="50" w:line="280" w:lineRule="exact"/>
        <w:rPr>
          <w:rFonts w:ascii="宋体" w:hAnsi="宋体"/>
          <w:color w:val="auto"/>
          <w:szCs w:val="21"/>
        </w:rPr>
      </w:pPr>
      <w:r>
        <w:rPr>
          <w:rFonts w:hint="eastAsia" w:ascii="宋体" w:hAnsi="宋体"/>
          <w:color w:val="auto"/>
          <w:szCs w:val="21"/>
        </w:rPr>
        <w:t xml:space="preserve">开标后在投标有效期间，投标人撤回其投标文件； </w:t>
      </w:r>
    </w:p>
    <w:p>
      <w:pPr>
        <w:numPr>
          <w:ilvl w:val="0"/>
          <w:numId w:val="32"/>
        </w:numPr>
        <w:snapToGrid w:val="0"/>
        <w:spacing w:beforeLines="50" w:line="320" w:lineRule="exact"/>
        <w:ind w:left="623" w:hanging="510"/>
        <w:rPr>
          <w:rFonts w:ascii="宋体" w:hAnsi="宋体"/>
          <w:color w:val="auto"/>
          <w:szCs w:val="21"/>
        </w:rPr>
      </w:pPr>
      <w:r>
        <w:rPr>
          <w:rFonts w:hint="eastAsia" w:ascii="宋体" w:hAnsi="宋体"/>
          <w:color w:val="auto"/>
        </w:rPr>
        <w:t>中标人若不能按时签订合同或履行合同，招标人有权终止合同的签订或履行，保证金不予退还，收归招标人所有。</w:t>
      </w:r>
    </w:p>
    <w:p>
      <w:pPr>
        <w:pStyle w:val="4"/>
        <w:numPr>
          <w:ilvl w:val="0"/>
          <w:numId w:val="6"/>
        </w:numPr>
        <w:adjustRightInd/>
        <w:spacing w:beforeLines="100" w:after="0" w:line="360" w:lineRule="exact"/>
        <w:textAlignment w:val="auto"/>
        <w:rPr>
          <w:rFonts w:ascii="宋体" w:hAnsi="宋体"/>
          <w:color w:val="auto"/>
          <w:sz w:val="24"/>
        </w:rPr>
      </w:pPr>
      <w:bookmarkStart w:id="91" w:name="_Toc261206962"/>
      <w:bookmarkStart w:id="92" w:name="_Toc103569376"/>
      <w:bookmarkStart w:id="93" w:name="_Toc134155421"/>
      <w:bookmarkStart w:id="94" w:name="_Toc193643699"/>
      <w:r>
        <w:rPr>
          <w:rFonts w:hint="eastAsia" w:ascii="宋体" w:hAnsi="宋体"/>
          <w:color w:val="auto"/>
          <w:sz w:val="24"/>
        </w:rPr>
        <w:tab/>
      </w:r>
      <w:bookmarkStart w:id="95" w:name="_Toc384934451"/>
      <w:r>
        <w:rPr>
          <w:rFonts w:hint="eastAsia" w:ascii="宋体" w:hAnsi="宋体"/>
          <w:color w:val="auto"/>
          <w:sz w:val="24"/>
        </w:rPr>
        <w:t>投标文件的有效期</w:t>
      </w:r>
      <w:bookmarkEnd w:id="91"/>
      <w:bookmarkEnd w:id="92"/>
      <w:bookmarkEnd w:id="93"/>
      <w:bookmarkEnd w:id="94"/>
      <w:bookmarkEnd w:id="95"/>
    </w:p>
    <w:p>
      <w:pPr>
        <w:numPr>
          <w:ilvl w:val="1"/>
          <w:numId w:val="33"/>
        </w:numPr>
        <w:spacing w:beforeLines="50" w:line="320" w:lineRule="exact"/>
        <w:rPr>
          <w:rFonts w:ascii="宋体" w:hAnsi="宋体"/>
          <w:color w:val="auto"/>
          <w:szCs w:val="21"/>
        </w:rPr>
      </w:pPr>
      <w:r>
        <w:rPr>
          <w:rFonts w:hint="eastAsia" w:ascii="宋体" w:hAnsi="宋体"/>
          <w:color w:val="auto"/>
          <w:szCs w:val="21"/>
        </w:rPr>
        <w:tab/>
      </w:r>
      <w:r>
        <w:rPr>
          <w:rFonts w:hint="eastAsia" w:ascii="宋体" w:hAnsi="宋体"/>
          <w:color w:val="auto"/>
          <w:szCs w:val="21"/>
        </w:rPr>
        <w:t>自开标日起60天内，投标文件应保持有效。有效期短于这个规定期限的投标将被拒绝。</w:t>
      </w:r>
    </w:p>
    <w:p>
      <w:pPr>
        <w:numPr>
          <w:ilvl w:val="1"/>
          <w:numId w:val="33"/>
        </w:numPr>
        <w:spacing w:beforeLines="50" w:line="320" w:lineRule="exact"/>
        <w:rPr>
          <w:rFonts w:ascii="宋体" w:hAnsi="宋体"/>
          <w:color w:val="auto"/>
          <w:szCs w:val="21"/>
        </w:rPr>
      </w:pPr>
      <w:r>
        <w:rPr>
          <w:rFonts w:hint="eastAsia" w:ascii="宋体" w:hAnsi="宋体"/>
          <w:color w:val="auto"/>
          <w:szCs w:val="21"/>
        </w:rPr>
        <w:tab/>
      </w:r>
      <w:r>
        <w:rPr>
          <w:rFonts w:hint="eastAsia" w:ascii="宋体" w:hAnsi="宋体"/>
          <w:color w:val="auto"/>
          <w:szCs w:val="21"/>
        </w:rPr>
        <w:t>在特殊情况下，招标人可与投标人协商延长投标文件的有效期。这种要求和答复都应以信函、传真、电报的形式进行。投标人可以拒绝接受延期要求而不致被没收保证金，同意延长有效期的投标人不能修改投标文件。</w:t>
      </w:r>
    </w:p>
    <w:p>
      <w:pPr>
        <w:numPr>
          <w:ilvl w:val="1"/>
          <w:numId w:val="33"/>
        </w:numPr>
        <w:spacing w:beforeLines="50" w:line="320" w:lineRule="exact"/>
        <w:rPr>
          <w:rFonts w:ascii="宋体" w:hAnsi="宋体"/>
          <w:color w:val="auto"/>
          <w:szCs w:val="21"/>
        </w:rPr>
      </w:pPr>
      <w:r>
        <w:rPr>
          <w:rFonts w:hint="eastAsia" w:ascii="宋体" w:hAnsi="宋体"/>
          <w:color w:val="auto"/>
          <w:szCs w:val="21"/>
        </w:rPr>
        <w:tab/>
      </w:r>
      <w:r>
        <w:rPr>
          <w:rFonts w:hint="eastAsia" w:ascii="宋体" w:hAnsi="宋体"/>
          <w:color w:val="auto"/>
          <w:szCs w:val="21"/>
        </w:rPr>
        <w:t>中标人的投标文件有效期截止于完成本招标文件规定的全部项目内容，并通过验收及质保期结束。</w:t>
      </w:r>
    </w:p>
    <w:p>
      <w:pPr>
        <w:pStyle w:val="4"/>
        <w:numPr>
          <w:ilvl w:val="0"/>
          <w:numId w:val="6"/>
        </w:numPr>
        <w:adjustRightInd/>
        <w:spacing w:beforeLines="100" w:after="0" w:line="360" w:lineRule="exact"/>
        <w:textAlignment w:val="auto"/>
        <w:rPr>
          <w:rFonts w:ascii="宋体" w:hAnsi="宋体"/>
          <w:color w:val="auto"/>
          <w:sz w:val="24"/>
        </w:rPr>
      </w:pPr>
      <w:bookmarkStart w:id="96" w:name="_Toc103569377"/>
      <w:bookmarkStart w:id="97" w:name="_Toc134155422"/>
      <w:bookmarkStart w:id="98" w:name="_Toc193643700"/>
      <w:bookmarkStart w:id="99" w:name="_Toc261206963"/>
      <w:r>
        <w:rPr>
          <w:rFonts w:hint="eastAsia" w:ascii="宋体" w:hAnsi="宋体"/>
          <w:color w:val="auto"/>
          <w:sz w:val="24"/>
        </w:rPr>
        <w:tab/>
      </w:r>
      <w:bookmarkStart w:id="100" w:name="_Toc384934452"/>
      <w:r>
        <w:rPr>
          <w:rFonts w:hint="eastAsia" w:ascii="宋体" w:hAnsi="宋体"/>
          <w:color w:val="auto"/>
          <w:sz w:val="24"/>
        </w:rPr>
        <w:t>投标文件的签署及规定</w:t>
      </w:r>
      <w:bookmarkEnd w:id="96"/>
      <w:bookmarkEnd w:id="97"/>
      <w:bookmarkEnd w:id="98"/>
      <w:bookmarkEnd w:id="99"/>
      <w:bookmarkEnd w:id="100"/>
    </w:p>
    <w:p>
      <w:pPr>
        <w:pStyle w:val="18"/>
        <w:adjustRightInd w:val="0"/>
        <w:snapToGrid w:val="0"/>
        <w:spacing w:line="360" w:lineRule="atLeast"/>
        <w:ind w:left="680"/>
        <w:rPr>
          <w:rFonts w:ascii="宋体" w:hAnsi="宋体"/>
          <w:bCs/>
          <w:color w:val="auto"/>
          <w:sz w:val="21"/>
          <w:szCs w:val="21"/>
        </w:rPr>
      </w:pPr>
      <w:r>
        <w:rPr>
          <w:rFonts w:hint="eastAsia" w:ascii="宋体" w:hAnsi="宋体"/>
          <w:bCs/>
          <w:color w:val="auto"/>
          <w:sz w:val="21"/>
          <w:szCs w:val="21"/>
        </w:rPr>
        <w:t>组成投标文件的各项资料（本须知第12条中所规定）均应遵守本条。</w:t>
      </w:r>
    </w:p>
    <w:p>
      <w:pPr>
        <w:numPr>
          <w:ilvl w:val="1"/>
          <w:numId w:val="34"/>
        </w:numPr>
        <w:spacing w:beforeLines="50" w:line="320" w:lineRule="exact"/>
        <w:rPr>
          <w:rFonts w:ascii="宋体" w:hAnsi="宋体"/>
          <w:color w:val="auto"/>
          <w:szCs w:val="21"/>
        </w:rPr>
      </w:pPr>
      <w:r>
        <w:rPr>
          <w:rFonts w:hint="eastAsia" w:ascii="宋体" w:hAnsi="宋体"/>
          <w:color w:val="auto"/>
          <w:szCs w:val="21"/>
        </w:rPr>
        <w:tab/>
      </w:r>
      <w:r>
        <w:rPr>
          <w:rFonts w:hint="eastAsia" w:ascii="宋体" w:hAnsi="宋体"/>
          <w:color w:val="auto"/>
          <w:szCs w:val="21"/>
        </w:rPr>
        <w:t>投标人应填写全称，同时按招标文件要求加盖印章，否则招标人有权拒绝其投标。</w:t>
      </w:r>
    </w:p>
    <w:p>
      <w:pPr>
        <w:numPr>
          <w:ilvl w:val="1"/>
          <w:numId w:val="34"/>
        </w:numPr>
        <w:spacing w:beforeLines="50" w:line="320" w:lineRule="exact"/>
        <w:rPr>
          <w:rFonts w:ascii="宋体" w:hAnsi="宋体"/>
          <w:color w:val="auto"/>
          <w:szCs w:val="21"/>
        </w:rPr>
      </w:pPr>
      <w:r>
        <w:rPr>
          <w:rFonts w:hint="eastAsia" w:ascii="宋体" w:hAnsi="宋体"/>
          <w:color w:val="auto"/>
          <w:szCs w:val="21"/>
        </w:rPr>
        <w:tab/>
      </w:r>
      <w:r>
        <w:rPr>
          <w:rFonts w:hint="eastAsia" w:ascii="宋体" w:hAnsi="宋体"/>
          <w:color w:val="auto"/>
          <w:szCs w:val="21"/>
        </w:rPr>
        <w:t>投标文件必须由法定代表人或授权代表签署。</w:t>
      </w:r>
    </w:p>
    <w:p>
      <w:pPr>
        <w:numPr>
          <w:ilvl w:val="1"/>
          <w:numId w:val="34"/>
        </w:numPr>
        <w:spacing w:beforeLines="50" w:line="320" w:lineRule="exact"/>
        <w:rPr>
          <w:rFonts w:ascii="宋体" w:hAnsi="宋体"/>
          <w:color w:val="auto"/>
          <w:szCs w:val="21"/>
        </w:rPr>
      </w:pPr>
      <w:r>
        <w:rPr>
          <w:rFonts w:hint="eastAsia" w:ascii="宋体" w:hAnsi="宋体"/>
          <w:color w:val="auto"/>
          <w:szCs w:val="21"/>
        </w:rPr>
        <w:tab/>
      </w:r>
      <w:r>
        <w:rPr>
          <w:rFonts w:hint="eastAsia" w:ascii="宋体" w:hAnsi="宋体"/>
          <w:color w:val="auto"/>
          <w:szCs w:val="21"/>
        </w:rPr>
        <w:t>投标文件一式5份。其中，正本1份，副本4份，如果正本与副本不符，以正本为准。</w:t>
      </w:r>
    </w:p>
    <w:p>
      <w:pPr>
        <w:numPr>
          <w:ilvl w:val="1"/>
          <w:numId w:val="34"/>
        </w:numPr>
        <w:spacing w:beforeLines="50" w:line="320" w:lineRule="exact"/>
        <w:rPr>
          <w:rFonts w:ascii="宋体" w:hAnsi="宋体"/>
          <w:color w:val="auto"/>
          <w:szCs w:val="21"/>
        </w:rPr>
      </w:pPr>
      <w:r>
        <w:rPr>
          <w:rFonts w:hint="eastAsia" w:ascii="宋体" w:hAnsi="宋体"/>
          <w:color w:val="auto"/>
          <w:szCs w:val="21"/>
        </w:rPr>
        <w:tab/>
      </w:r>
      <w:r>
        <w:rPr>
          <w:rFonts w:hint="eastAsia" w:ascii="宋体" w:hAnsi="宋体"/>
          <w:color w:val="auto"/>
          <w:szCs w:val="21"/>
        </w:rPr>
        <w:t>投标文件的正本必须用不退色的墨水填写或打印，注明“正本”字样。副本可以用复印件。</w:t>
      </w:r>
    </w:p>
    <w:p>
      <w:pPr>
        <w:numPr>
          <w:ilvl w:val="1"/>
          <w:numId w:val="34"/>
        </w:numPr>
        <w:spacing w:beforeLines="50" w:line="320" w:lineRule="exact"/>
        <w:rPr>
          <w:rFonts w:ascii="宋体" w:hAnsi="宋体"/>
          <w:color w:val="auto"/>
          <w:szCs w:val="21"/>
        </w:rPr>
      </w:pPr>
      <w:r>
        <w:rPr>
          <w:rFonts w:hint="eastAsia" w:ascii="宋体" w:hAnsi="宋体"/>
          <w:color w:val="auto"/>
          <w:szCs w:val="21"/>
        </w:rPr>
        <w:t>投标文件不得涂改和增删，如有修改错漏处，必须由同一签署人签字并盖章。</w:t>
      </w:r>
    </w:p>
    <w:p>
      <w:pPr>
        <w:numPr>
          <w:ilvl w:val="1"/>
          <w:numId w:val="34"/>
        </w:numPr>
        <w:spacing w:beforeLines="50" w:line="320" w:lineRule="exact"/>
        <w:rPr>
          <w:rFonts w:ascii="宋体" w:hAnsi="宋体"/>
          <w:color w:val="auto"/>
          <w:szCs w:val="21"/>
        </w:rPr>
      </w:pPr>
      <w:r>
        <w:rPr>
          <w:rFonts w:hint="eastAsia" w:ascii="宋体" w:hAnsi="宋体"/>
          <w:color w:val="auto"/>
          <w:szCs w:val="21"/>
        </w:rPr>
        <w:tab/>
      </w:r>
      <w:r>
        <w:rPr>
          <w:rFonts w:hint="eastAsia" w:ascii="宋体" w:hAnsi="宋体"/>
          <w:color w:val="auto"/>
          <w:szCs w:val="21"/>
        </w:rPr>
        <w:t>投标文件因字迹潦草或表达不清所引起的后果由投标人负责。</w:t>
      </w:r>
    </w:p>
    <w:p>
      <w:pPr>
        <w:numPr>
          <w:ilvl w:val="1"/>
          <w:numId w:val="34"/>
        </w:numPr>
        <w:spacing w:beforeLines="50" w:line="320" w:lineRule="exact"/>
        <w:rPr>
          <w:rFonts w:ascii="宋体" w:hAnsi="宋体"/>
          <w:color w:val="auto"/>
          <w:szCs w:val="21"/>
        </w:rPr>
      </w:pPr>
      <w:r>
        <w:rPr>
          <w:rFonts w:hint="eastAsia" w:ascii="宋体" w:hAnsi="宋体"/>
          <w:color w:val="auto"/>
          <w:szCs w:val="21"/>
        </w:rPr>
        <w:tab/>
      </w:r>
      <w:r>
        <w:rPr>
          <w:rFonts w:hint="eastAsia" w:ascii="宋体" w:hAnsi="宋体"/>
          <w:color w:val="auto"/>
          <w:szCs w:val="21"/>
        </w:rPr>
        <w:t>电报、电话、传真形式的投标概不接受。</w:t>
      </w:r>
    </w:p>
    <w:p>
      <w:pPr>
        <w:pStyle w:val="3"/>
        <w:numPr>
          <w:ilvl w:val="0"/>
          <w:numId w:val="5"/>
        </w:numPr>
        <w:adjustRightInd/>
        <w:spacing w:beforeLines="150" w:afterLines="50" w:line="360" w:lineRule="exact"/>
        <w:jc w:val="center"/>
        <w:textAlignment w:val="auto"/>
        <w:rPr>
          <w:rFonts w:ascii="宋体" w:hAnsi="宋体" w:eastAsia="宋体"/>
          <w:color w:val="auto"/>
          <w:sz w:val="30"/>
          <w:szCs w:val="30"/>
        </w:rPr>
      </w:pPr>
      <w:bookmarkStart w:id="101" w:name="_Toc193643701"/>
      <w:bookmarkStart w:id="102" w:name="_Toc103569378"/>
      <w:bookmarkStart w:id="103" w:name="_Toc261206964"/>
      <w:bookmarkStart w:id="104" w:name="_Toc384934453"/>
      <w:bookmarkStart w:id="105" w:name="_Toc134155423"/>
      <w:r>
        <w:rPr>
          <w:rFonts w:hint="eastAsia" w:ascii="宋体" w:hAnsi="宋体" w:eastAsia="宋体"/>
          <w:color w:val="auto"/>
          <w:sz w:val="30"/>
          <w:szCs w:val="30"/>
        </w:rPr>
        <w:t>投标文件的递交</w:t>
      </w:r>
      <w:bookmarkEnd w:id="101"/>
      <w:bookmarkEnd w:id="102"/>
      <w:bookmarkEnd w:id="103"/>
      <w:bookmarkEnd w:id="104"/>
      <w:bookmarkEnd w:id="105"/>
    </w:p>
    <w:p>
      <w:pPr>
        <w:pStyle w:val="4"/>
        <w:numPr>
          <w:ilvl w:val="0"/>
          <w:numId w:val="6"/>
        </w:numPr>
        <w:adjustRightInd/>
        <w:spacing w:beforeLines="100" w:after="0" w:line="360" w:lineRule="exact"/>
        <w:textAlignment w:val="auto"/>
        <w:rPr>
          <w:rFonts w:ascii="宋体" w:hAnsi="宋体"/>
          <w:color w:val="auto"/>
          <w:sz w:val="24"/>
        </w:rPr>
      </w:pPr>
      <w:bookmarkStart w:id="106" w:name="_Toc134155424"/>
      <w:bookmarkStart w:id="107" w:name="_Toc103569379"/>
      <w:bookmarkStart w:id="108" w:name="_Toc261206965"/>
      <w:bookmarkStart w:id="109" w:name="_Toc384934454"/>
      <w:bookmarkStart w:id="110" w:name="_Toc193643702"/>
      <w:r>
        <w:rPr>
          <w:rFonts w:hint="eastAsia" w:ascii="宋体" w:hAnsi="宋体"/>
          <w:color w:val="auto"/>
          <w:sz w:val="24"/>
        </w:rPr>
        <w:t>投标文件的密封及标记</w:t>
      </w:r>
      <w:bookmarkEnd w:id="106"/>
      <w:bookmarkEnd w:id="107"/>
      <w:bookmarkEnd w:id="108"/>
      <w:bookmarkEnd w:id="109"/>
      <w:bookmarkEnd w:id="110"/>
    </w:p>
    <w:p>
      <w:pPr>
        <w:numPr>
          <w:ilvl w:val="1"/>
          <w:numId w:val="35"/>
        </w:numPr>
        <w:spacing w:beforeLines="50" w:line="320" w:lineRule="exact"/>
        <w:rPr>
          <w:rFonts w:ascii="宋体" w:hAnsi="宋体"/>
          <w:color w:val="auto"/>
          <w:szCs w:val="21"/>
        </w:rPr>
      </w:pPr>
      <w:r>
        <w:rPr>
          <w:rFonts w:hint="eastAsia" w:ascii="宋体" w:hAnsi="宋体"/>
          <w:color w:val="auto"/>
          <w:szCs w:val="21"/>
        </w:rPr>
        <w:tab/>
      </w:r>
      <w:r>
        <w:rPr>
          <w:rFonts w:hint="eastAsia" w:ascii="宋体" w:hAnsi="宋体"/>
          <w:color w:val="auto"/>
          <w:szCs w:val="21"/>
        </w:rPr>
        <w:t>投标人应将投标文件分别用密封袋密封，注明招标编号、项目名称及“正本”、“副本”字样；信封或密封袋所有接口处用胶水贴密封条并在封口处加盖单位公章（若封口处无公章则视为无效投标），封口条上写明“于2018年11月16日上午9：00之前不准启封”字样并盖单位公章。</w:t>
      </w:r>
    </w:p>
    <w:p>
      <w:pPr>
        <w:numPr>
          <w:ilvl w:val="1"/>
          <w:numId w:val="35"/>
        </w:numPr>
        <w:spacing w:beforeLines="50" w:line="320" w:lineRule="exact"/>
        <w:rPr>
          <w:rFonts w:ascii="宋体" w:hAnsi="宋体"/>
          <w:color w:val="auto"/>
          <w:szCs w:val="21"/>
        </w:rPr>
      </w:pPr>
      <w:r>
        <w:rPr>
          <w:rFonts w:hint="eastAsia" w:ascii="宋体" w:hAnsi="宋体"/>
          <w:color w:val="auto"/>
          <w:szCs w:val="21"/>
        </w:rPr>
        <w:tab/>
      </w:r>
      <w:r>
        <w:rPr>
          <w:rFonts w:hint="eastAsia" w:ascii="宋体" w:hAnsi="宋体"/>
          <w:color w:val="auto"/>
          <w:szCs w:val="21"/>
        </w:rPr>
        <w:t>为方便开标唱标，投标人应将开标一览表单独密封并标明，然后装入正本投标文件密封袋中。</w:t>
      </w:r>
    </w:p>
    <w:p>
      <w:pPr>
        <w:numPr>
          <w:ilvl w:val="1"/>
          <w:numId w:val="35"/>
        </w:numPr>
        <w:spacing w:beforeLines="50" w:line="320" w:lineRule="exact"/>
        <w:rPr>
          <w:rFonts w:ascii="宋体" w:hAnsi="宋体"/>
          <w:color w:val="auto"/>
          <w:szCs w:val="21"/>
        </w:rPr>
      </w:pPr>
      <w:r>
        <w:rPr>
          <w:rFonts w:hint="eastAsia" w:ascii="宋体" w:hAnsi="宋体"/>
          <w:color w:val="auto"/>
          <w:szCs w:val="21"/>
        </w:rPr>
        <w:tab/>
      </w:r>
      <w:r>
        <w:rPr>
          <w:rFonts w:hint="eastAsia" w:ascii="宋体" w:hAnsi="宋体"/>
          <w:color w:val="auto"/>
          <w:szCs w:val="21"/>
        </w:rPr>
        <w:t>如果未按上述规定密封和标记，招标人对投标文件的提前拆封及误投不负任何责任。</w:t>
      </w:r>
    </w:p>
    <w:p>
      <w:pPr>
        <w:pStyle w:val="4"/>
        <w:numPr>
          <w:ilvl w:val="0"/>
          <w:numId w:val="6"/>
        </w:numPr>
        <w:adjustRightInd/>
        <w:spacing w:beforeLines="100" w:after="0" w:line="360" w:lineRule="exact"/>
        <w:textAlignment w:val="auto"/>
        <w:rPr>
          <w:rFonts w:ascii="宋体" w:hAnsi="宋体"/>
          <w:color w:val="auto"/>
          <w:sz w:val="24"/>
        </w:rPr>
      </w:pPr>
      <w:bookmarkStart w:id="111" w:name="_Toc134155425"/>
      <w:bookmarkStart w:id="112" w:name="_Toc261206966"/>
      <w:bookmarkStart w:id="113" w:name="_Toc193643703"/>
      <w:bookmarkStart w:id="114" w:name="_Toc103569380"/>
      <w:r>
        <w:rPr>
          <w:rFonts w:hint="eastAsia" w:ascii="宋体" w:hAnsi="宋体"/>
          <w:color w:val="auto"/>
          <w:sz w:val="24"/>
        </w:rPr>
        <w:tab/>
      </w:r>
      <w:bookmarkStart w:id="115" w:name="_Toc384934455"/>
      <w:r>
        <w:rPr>
          <w:rFonts w:hint="eastAsia" w:ascii="宋体" w:hAnsi="宋体"/>
          <w:color w:val="auto"/>
          <w:sz w:val="24"/>
        </w:rPr>
        <w:t>投标文件的送达</w:t>
      </w:r>
      <w:bookmarkEnd w:id="111"/>
      <w:bookmarkEnd w:id="112"/>
      <w:bookmarkEnd w:id="113"/>
      <w:bookmarkEnd w:id="114"/>
      <w:bookmarkEnd w:id="115"/>
    </w:p>
    <w:p>
      <w:pPr>
        <w:numPr>
          <w:ilvl w:val="1"/>
          <w:numId w:val="36"/>
        </w:numPr>
        <w:spacing w:beforeLines="50" w:line="320" w:lineRule="exact"/>
        <w:rPr>
          <w:rFonts w:ascii="宋体" w:hAnsi="宋体"/>
          <w:color w:val="auto"/>
          <w:szCs w:val="21"/>
        </w:rPr>
      </w:pPr>
      <w:r>
        <w:rPr>
          <w:rFonts w:hint="eastAsia" w:ascii="宋体" w:hAnsi="宋体"/>
          <w:color w:val="auto"/>
          <w:szCs w:val="21"/>
        </w:rPr>
        <w:tab/>
      </w:r>
      <w:r>
        <w:rPr>
          <w:rFonts w:hint="eastAsia" w:ascii="宋体" w:hAnsi="宋体"/>
          <w:color w:val="auto"/>
          <w:szCs w:val="21"/>
        </w:rPr>
        <w:t>所有投标文件都必须在招标文件中规定的投标截止时间之前送达指定的地点。</w:t>
      </w:r>
    </w:p>
    <w:p>
      <w:pPr>
        <w:numPr>
          <w:ilvl w:val="1"/>
          <w:numId w:val="36"/>
        </w:numPr>
        <w:spacing w:beforeLines="50" w:line="320" w:lineRule="exact"/>
        <w:rPr>
          <w:rFonts w:ascii="宋体" w:hAnsi="宋体"/>
          <w:color w:val="auto"/>
          <w:szCs w:val="21"/>
        </w:rPr>
      </w:pPr>
      <w:r>
        <w:rPr>
          <w:rFonts w:hint="eastAsia" w:ascii="宋体" w:hAnsi="宋体"/>
          <w:color w:val="auto"/>
          <w:szCs w:val="21"/>
        </w:rPr>
        <w:tab/>
      </w:r>
      <w:r>
        <w:rPr>
          <w:rFonts w:hint="eastAsia" w:ascii="宋体" w:hAnsi="宋体"/>
          <w:color w:val="auto"/>
          <w:szCs w:val="21"/>
        </w:rPr>
        <w:t>如果邮寄过程中造成标书拆封，视为无效投标。</w:t>
      </w:r>
    </w:p>
    <w:p>
      <w:pPr>
        <w:numPr>
          <w:ilvl w:val="1"/>
          <w:numId w:val="36"/>
        </w:numPr>
        <w:spacing w:beforeLines="50" w:line="320" w:lineRule="exact"/>
        <w:rPr>
          <w:rFonts w:ascii="宋体" w:hAnsi="宋体"/>
          <w:color w:val="auto"/>
          <w:szCs w:val="21"/>
        </w:rPr>
      </w:pPr>
      <w:r>
        <w:rPr>
          <w:rFonts w:hint="eastAsia" w:ascii="宋体" w:hAnsi="宋体"/>
          <w:color w:val="auto"/>
          <w:szCs w:val="21"/>
        </w:rPr>
        <w:tab/>
      </w:r>
      <w:r>
        <w:rPr>
          <w:rFonts w:hint="eastAsia" w:ascii="宋体" w:hAnsi="宋体"/>
          <w:color w:val="auto"/>
          <w:szCs w:val="21"/>
        </w:rPr>
        <w:t>招标人将拒绝在投标截止时间后送达的投标文件。</w:t>
      </w:r>
    </w:p>
    <w:p>
      <w:pPr>
        <w:pStyle w:val="4"/>
        <w:numPr>
          <w:ilvl w:val="0"/>
          <w:numId w:val="6"/>
        </w:numPr>
        <w:adjustRightInd/>
        <w:spacing w:beforeLines="100" w:after="0" w:line="360" w:lineRule="exact"/>
        <w:textAlignment w:val="auto"/>
        <w:rPr>
          <w:rFonts w:ascii="宋体" w:hAnsi="宋体"/>
          <w:color w:val="auto"/>
          <w:sz w:val="24"/>
        </w:rPr>
      </w:pPr>
      <w:bookmarkStart w:id="116" w:name="_Toc261206967"/>
      <w:bookmarkStart w:id="117" w:name="_Toc103569381"/>
      <w:bookmarkStart w:id="118" w:name="_Toc193643704"/>
      <w:bookmarkStart w:id="119" w:name="_Toc134155426"/>
      <w:r>
        <w:rPr>
          <w:rFonts w:hint="eastAsia" w:ascii="宋体" w:hAnsi="宋体"/>
          <w:color w:val="auto"/>
          <w:sz w:val="24"/>
        </w:rPr>
        <w:tab/>
      </w:r>
      <w:bookmarkStart w:id="120" w:name="_Toc384934456"/>
      <w:r>
        <w:rPr>
          <w:rFonts w:hint="eastAsia" w:ascii="宋体" w:hAnsi="宋体"/>
          <w:color w:val="auto"/>
          <w:sz w:val="24"/>
        </w:rPr>
        <w:t>投标文件的修改和撤回</w:t>
      </w:r>
      <w:bookmarkEnd w:id="116"/>
      <w:bookmarkEnd w:id="117"/>
      <w:bookmarkEnd w:id="118"/>
      <w:bookmarkEnd w:id="119"/>
      <w:bookmarkEnd w:id="120"/>
    </w:p>
    <w:p>
      <w:pPr>
        <w:numPr>
          <w:ilvl w:val="1"/>
          <w:numId w:val="37"/>
        </w:numPr>
        <w:spacing w:beforeLines="50" w:line="320" w:lineRule="exact"/>
        <w:rPr>
          <w:rFonts w:ascii="宋体" w:hAnsi="宋体"/>
          <w:color w:val="auto"/>
          <w:szCs w:val="21"/>
        </w:rPr>
      </w:pPr>
      <w:bookmarkStart w:id="121" w:name="_Toc103569382"/>
      <w:bookmarkStart w:id="122" w:name="_Toc134155427"/>
      <w:r>
        <w:rPr>
          <w:rFonts w:hint="eastAsia" w:ascii="宋体" w:hAnsi="宋体"/>
          <w:color w:val="auto"/>
          <w:szCs w:val="21"/>
        </w:rPr>
        <w:tab/>
      </w:r>
      <w:r>
        <w:rPr>
          <w:rFonts w:hint="eastAsia" w:ascii="宋体" w:hAnsi="宋体"/>
          <w:color w:val="auto"/>
          <w:szCs w:val="21"/>
        </w:rPr>
        <w:t>投标人在递交投标文件后可对其投标文件进行修改或撤回,但须在投标截止时间之前将该修改或撤回的书面通知送达招标人,该通知必须有经正式授权的投标人代表签字、盖章。</w:t>
      </w:r>
    </w:p>
    <w:p>
      <w:pPr>
        <w:numPr>
          <w:ilvl w:val="1"/>
          <w:numId w:val="37"/>
        </w:numPr>
        <w:spacing w:beforeLines="50" w:line="320" w:lineRule="exact"/>
        <w:rPr>
          <w:rFonts w:ascii="宋体" w:hAnsi="宋体"/>
          <w:color w:val="auto"/>
          <w:szCs w:val="21"/>
        </w:rPr>
      </w:pPr>
      <w:r>
        <w:rPr>
          <w:rFonts w:hint="eastAsia" w:ascii="宋体" w:hAnsi="宋体"/>
          <w:color w:val="auto"/>
          <w:szCs w:val="21"/>
        </w:rPr>
        <w:tab/>
      </w:r>
      <w:r>
        <w:rPr>
          <w:rFonts w:hint="eastAsia" w:ascii="宋体" w:hAnsi="宋体"/>
          <w:color w:val="auto"/>
          <w:szCs w:val="21"/>
        </w:rPr>
        <w:t>投标截止时间以后不得修改投标文件。</w:t>
      </w:r>
    </w:p>
    <w:p>
      <w:pPr>
        <w:numPr>
          <w:ilvl w:val="1"/>
          <w:numId w:val="37"/>
        </w:numPr>
        <w:spacing w:beforeLines="50" w:line="320" w:lineRule="exact"/>
        <w:rPr>
          <w:rFonts w:ascii="宋体" w:hAnsi="宋体"/>
          <w:color w:val="auto"/>
          <w:szCs w:val="21"/>
        </w:rPr>
      </w:pPr>
      <w:r>
        <w:rPr>
          <w:rFonts w:hint="eastAsia" w:ascii="宋体" w:hAnsi="宋体"/>
          <w:color w:val="auto"/>
          <w:szCs w:val="21"/>
        </w:rPr>
        <w:tab/>
      </w:r>
      <w:r>
        <w:rPr>
          <w:rFonts w:hint="eastAsia" w:ascii="宋体" w:hAnsi="宋体"/>
          <w:color w:val="auto"/>
          <w:szCs w:val="21"/>
        </w:rPr>
        <w:t>投标人不得在开标后至投标文件有效期期满前撤销投标文件。否则，招标人将按本须知16.6款的规定对其投标保证金不予退还。</w:t>
      </w:r>
    </w:p>
    <w:p>
      <w:pPr>
        <w:numPr>
          <w:ilvl w:val="1"/>
          <w:numId w:val="37"/>
        </w:numPr>
        <w:spacing w:beforeLines="50" w:line="320" w:lineRule="exact"/>
        <w:rPr>
          <w:rFonts w:ascii="宋体" w:hAnsi="宋体"/>
          <w:color w:val="auto"/>
          <w:szCs w:val="21"/>
        </w:rPr>
      </w:pPr>
      <w:r>
        <w:rPr>
          <w:rFonts w:hint="eastAsia" w:ascii="宋体" w:hAnsi="宋体"/>
          <w:color w:val="auto"/>
          <w:szCs w:val="21"/>
        </w:rPr>
        <w:tab/>
      </w:r>
      <w:r>
        <w:rPr>
          <w:rFonts w:hint="eastAsia" w:ascii="宋体" w:hAnsi="宋体"/>
          <w:color w:val="auto"/>
          <w:szCs w:val="21"/>
        </w:rPr>
        <w:t>投标人的有效投标文件根据《中华人民共和国政府采购法》第四十二条规定不予退还。</w:t>
      </w:r>
    </w:p>
    <w:p>
      <w:pPr>
        <w:pStyle w:val="3"/>
        <w:numPr>
          <w:ilvl w:val="0"/>
          <w:numId w:val="5"/>
        </w:numPr>
        <w:adjustRightInd/>
        <w:spacing w:beforeLines="150" w:afterLines="50" w:line="360" w:lineRule="exact"/>
        <w:jc w:val="center"/>
        <w:textAlignment w:val="auto"/>
        <w:rPr>
          <w:rFonts w:ascii="宋体" w:hAnsi="宋体" w:eastAsia="宋体"/>
          <w:color w:val="auto"/>
          <w:sz w:val="30"/>
          <w:szCs w:val="30"/>
        </w:rPr>
      </w:pPr>
      <w:bookmarkStart w:id="123" w:name="_Toc261206969"/>
      <w:bookmarkStart w:id="124" w:name="_Toc384934457"/>
      <w:bookmarkStart w:id="125" w:name="_Toc193643705"/>
      <w:r>
        <w:rPr>
          <w:rFonts w:hint="eastAsia" w:ascii="宋体" w:hAnsi="宋体" w:eastAsia="宋体"/>
          <w:color w:val="auto"/>
          <w:sz w:val="30"/>
          <w:szCs w:val="30"/>
        </w:rPr>
        <w:t>开标及评标</w:t>
      </w:r>
      <w:bookmarkEnd w:id="121"/>
      <w:bookmarkEnd w:id="122"/>
      <w:bookmarkEnd w:id="123"/>
      <w:bookmarkEnd w:id="124"/>
      <w:bookmarkEnd w:id="125"/>
    </w:p>
    <w:p>
      <w:pPr>
        <w:pStyle w:val="4"/>
        <w:numPr>
          <w:ilvl w:val="0"/>
          <w:numId w:val="6"/>
        </w:numPr>
        <w:adjustRightInd/>
        <w:spacing w:beforeLines="100" w:after="0" w:line="360" w:lineRule="exact"/>
        <w:textAlignment w:val="auto"/>
        <w:rPr>
          <w:rFonts w:ascii="宋体" w:hAnsi="宋体"/>
          <w:color w:val="auto"/>
          <w:sz w:val="24"/>
        </w:rPr>
      </w:pPr>
      <w:bookmarkStart w:id="126" w:name="_Toc193643706"/>
      <w:bookmarkStart w:id="127" w:name="_Toc261206970"/>
      <w:bookmarkStart w:id="128" w:name="_Toc134155428"/>
      <w:bookmarkStart w:id="129" w:name="_Toc103569383"/>
      <w:r>
        <w:rPr>
          <w:rFonts w:hint="eastAsia" w:ascii="宋体" w:hAnsi="宋体"/>
          <w:color w:val="auto"/>
          <w:sz w:val="24"/>
        </w:rPr>
        <w:tab/>
      </w:r>
      <w:bookmarkStart w:id="130" w:name="_Toc384934458"/>
      <w:r>
        <w:rPr>
          <w:rFonts w:hint="eastAsia" w:ascii="宋体" w:hAnsi="宋体"/>
          <w:color w:val="auto"/>
          <w:sz w:val="24"/>
        </w:rPr>
        <w:t>开标</w:t>
      </w:r>
      <w:bookmarkEnd w:id="126"/>
      <w:bookmarkEnd w:id="127"/>
      <w:bookmarkEnd w:id="128"/>
      <w:bookmarkEnd w:id="129"/>
      <w:bookmarkEnd w:id="130"/>
    </w:p>
    <w:p>
      <w:pPr>
        <w:numPr>
          <w:ilvl w:val="1"/>
          <w:numId w:val="38"/>
        </w:numPr>
        <w:spacing w:beforeLines="50" w:line="320" w:lineRule="exact"/>
        <w:rPr>
          <w:rFonts w:ascii="宋体" w:hAnsi="宋体"/>
          <w:color w:val="auto"/>
          <w:szCs w:val="21"/>
        </w:rPr>
      </w:pPr>
      <w:bookmarkStart w:id="131" w:name="_Toc103569384"/>
      <w:r>
        <w:rPr>
          <w:rFonts w:hint="eastAsia" w:ascii="宋体" w:hAnsi="宋体"/>
          <w:color w:val="auto"/>
          <w:szCs w:val="21"/>
        </w:rPr>
        <w:tab/>
      </w:r>
      <w:r>
        <w:rPr>
          <w:rFonts w:hint="eastAsia" w:ascii="宋体" w:hAnsi="宋体"/>
          <w:color w:val="auto"/>
          <w:szCs w:val="21"/>
        </w:rPr>
        <w:t>招标人按招标文件规定的时间、地点主持开标。</w:t>
      </w:r>
    </w:p>
    <w:p>
      <w:pPr>
        <w:numPr>
          <w:ilvl w:val="1"/>
          <w:numId w:val="38"/>
        </w:numPr>
        <w:spacing w:beforeLines="50" w:line="320" w:lineRule="exact"/>
        <w:rPr>
          <w:rFonts w:ascii="宋体" w:hAnsi="宋体"/>
          <w:color w:val="auto"/>
          <w:szCs w:val="21"/>
        </w:rPr>
      </w:pPr>
      <w:r>
        <w:rPr>
          <w:rFonts w:hint="eastAsia" w:ascii="宋体" w:hAnsi="宋体"/>
          <w:color w:val="auto"/>
          <w:szCs w:val="21"/>
        </w:rPr>
        <w:tab/>
      </w:r>
      <w:r>
        <w:rPr>
          <w:rFonts w:hint="eastAsia" w:ascii="宋体" w:hAnsi="宋体"/>
          <w:color w:val="auto"/>
          <w:szCs w:val="21"/>
        </w:rPr>
        <w:t>开标时由投标人代表和湖南工程学院纪检监察人员对标书密封情况进行检查，确认无误后拆封。</w:t>
      </w:r>
    </w:p>
    <w:p>
      <w:pPr>
        <w:numPr>
          <w:ilvl w:val="1"/>
          <w:numId w:val="38"/>
        </w:numPr>
        <w:spacing w:beforeLines="50" w:line="320" w:lineRule="exact"/>
        <w:rPr>
          <w:rFonts w:ascii="宋体" w:hAnsi="宋体"/>
          <w:color w:val="auto"/>
          <w:szCs w:val="21"/>
        </w:rPr>
      </w:pPr>
      <w:r>
        <w:rPr>
          <w:rFonts w:hint="eastAsia" w:ascii="宋体" w:hAnsi="宋体"/>
          <w:color w:val="auto"/>
          <w:szCs w:val="21"/>
        </w:rPr>
        <w:tab/>
      </w:r>
      <w:r>
        <w:rPr>
          <w:rFonts w:hint="eastAsia" w:ascii="宋体" w:hAnsi="宋体"/>
          <w:color w:val="auto"/>
          <w:szCs w:val="21"/>
        </w:rPr>
        <w:t>招标人在开标仪式上，将公布投标人的名称、投标货物名</w:t>
      </w:r>
      <w:r>
        <w:rPr>
          <w:rFonts w:hint="eastAsia" w:ascii="宋体" w:hAnsi="宋体"/>
          <w:color w:val="auto"/>
          <w:szCs w:val="21"/>
        </w:rPr>
        <w:t>称、投标报价、投标保证金是否提交等，唱标内容以“开标一览表”为准。</w:t>
      </w:r>
    </w:p>
    <w:p>
      <w:pPr>
        <w:numPr>
          <w:ilvl w:val="1"/>
          <w:numId w:val="38"/>
        </w:numPr>
        <w:spacing w:beforeLines="50" w:line="320" w:lineRule="exact"/>
        <w:rPr>
          <w:rFonts w:ascii="宋体" w:hAnsi="宋体"/>
          <w:color w:val="auto"/>
          <w:szCs w:val="21"/>
        </w:rPr>
      </w:pPr>
      <w:r>
        <w:rPr>
          <w:rFonts w:hint="eastAsia" w:ascii="宋体" w:hAnsi="宋体"/>
          <w:color w:val="auto"/>
          <w:szCs w:val="21"/>
        </w:rPr>
        <w:tab/>
      </w:r>
      <w:r>
        <w:rPr>
          <w:rFonts w:hint="eastAsia" w:ascii="宋体" w:hAnsi="宋体"/>
          <w:color w:val="auto"/>
          <w:szCs w:val="21"/>
        </w:rPr>
        <w:t>开标时，投标文件有下列情形之一的，招标人不予受理：</w:t>
      </w:r>
    </w:p>
    <w:p>
      <w:pPr>
        <w:numPr>
          <w:ilvl w:val="0"/>
          <w:numId w:val="39"/>
        </w:numPr>
        <w:snapToGrid w:val="0"/>
        <w:spacing w:beforeLines="50" w:line="320" w:lineRule="exact"/>
        <w:ind w:hanging="444"/>
        <w:rPr>
          <w:rFonts w:ascii="宋体" w:hAnsi="宋体"/>
          <w:color w:val="auto"/>
          <w:szCs w:val="21"/>
        </w:rPr>
      </w:pPr>
      <w:r>
        <w:rPr>
          <w:rFonts w:hint="eastAsia" w:ascii="宋体" w:hAnsi="宋体"/>
          <w:color w:val="auto"/>
          <w:szCs w:val="21"/>
        </w:rPr>
        <w:t>未交投标保证金或投标保证金金额不足；</w:t>
      </w:r>
    </w:p>
    <w:p>
      <w:pPr>
        <w:numPr>
          <w:ilvl w:val="0"/>
          <w:numId w:val="39"/>
        </w:numPr>
        <w:snapToGrid w:val="0"/>
        <w:spacing w:line="320" w:lineRule="exact"/>
        <w:ind w:left="623" w:hanging="444"/>
        <w:rPr>
          <w:rFonts w:ascii="宋体" w:hAnsi="宋体"/>
          <w:bCs/>
          <w:color w:val="auto"/>
          <w:szCs w:val="21"/>
        </w:rPr>
      </w:pPr>
      <w:r>
        <w:rPr>
          <w:rFonts w:hint="eastAsia" w:ascii="宋体" w:hAnsi="宋体"/>
          <w:color w:val="auto"/>
          <w:szCs w:val="21"/>
        </w:rPr>
        <w:t>投标文件逾期送达的或者未送达指定地点；</w:t>
      </w:r>
    </w:p>
    <w:p>
      <w:pPr>
        <w:numPr>
          <w:ilvl w:val="0"/>
          <w:numId w:val="39"/>
        </w:numPr>
        <w:snapToGrid w:val="0"/>
        <w:spacing w:line="320" w:lineRule="exact"/>
        <w:ind w:left="623" w:hanging="444"/>
        <w:rPr>
          <w:rFonts w:ascii="宋体" w:hAnsi="宋体"/>
          <w:bCs/>
          <w:color w:val="auto"/>
          <w:szCs w:val="21"/>
        </w:rPr>
      </w:pPr>
      <w:r>
        <w:rPr>
          <w:rFonts w:hint="eastAsia" w:ascii="宋体" w:hAnsi="宋体"/>
          <w:color w:val="auto"/>
          <w:szCs w:val="21"/>
        </w:rPr>
        <w:t>投标文件未按照招标文件规定要求密封、签署、盖章的。</w:t>
      </w:r>
    </w:p>
    <w:p>
      <w:pPr>
        <w:pStyle w:val="4"/>
        <w:numPr>
          <w:ilvl w:val="0"/>
          <w:numId w:val="6"/>
        </w:numPr>
        <w:adjustRightInd/>
        <w:spacing w:beforeLines="100" w:after="0" w:line="360" w:lineRule="exact"/>
        <w:textAlignment w:val="auto"/>
        <w:rPr>
          <w:rFonts w:ascii="宋体" w:hAnsi="宋体"/>
          <w:color w:val="auto"/>
          <w:sz w:val="24"/>
        </w:rPr>
      </w:pPr>
      <w:bookmarkStart w:id="132" w:name="_Toc134155429"/>
      <w:bookmarkStart w:id="133" w:name="_Toc384934459"/>
      <w:bookmarkStart w:id="134" w:name="_Toc261206971"/>
      <w:bookmarkStart w:id="135" w:name="_Toc193643707"/>
      <w:r>
        <w:rPr>
          <w:rFonts w:hint="eastAsia" w:ascii="宋体" w:hAnsi="宋体"/>
          <w:color w:val="auto"/>
          <w:sz w:val="24"/>
        </w:rPr>
        <w:t>评标委员会</w:t>
      </w:r>
      <w:bookmarkEnd w:id="131"/>
      <w:bookmarkEnd w:id="132"/>
      <w:bookmarkEnd w:id="133"/>
      <w:bookmarkEnd w:id="134"/>
      <w:bookmarkEnd w:id="135"/>
    </w:p>
    <w:p>
      <w:pPr>
        <w:numPr>
          <w:ilvl w:val="1"/>
          <w:numId w:val="40"/>
        </w:numPr>
        <w:spacing w:beforeLines="50" w:line="320" w:lineRule="exact"/>
        <w:rPr>
          <w:rFonts w:ascii="宋体" w:hAnsi="宋体"/>
          <w:color w:val="auto"/>
          <w:szCs w:val="21"/>
        </w:rPr>
      </w:pPr>
      <w:r>
        <w:rPr>
          <w:rFonts w:hint="eastAsia" w:ascii="宋体" w:hAnsi="宋体"/>
          <w:color w:val="auto"/>
          <w:szCs w:val="21"/>
        </w:rPr>
        <w:tab/>
      </w:r>
      <w:r>
        <w:rPr>
          <w:rFonts w:hint="eastAsia" w:ascii="宋体" w:hAnsi="宋体"/>
          <w:color w:val="auto"/>
          <w:szCs w:val="21"/>
        </w:rPr>
        <w:t>招标人将根据招标货物的特点及湖南工程学院招标工作有关文件的要求依法组建评标委员会，其成员由技术、经济等方面的专家和用户代表组成。评标委员会负责对投标文件进行审查、质疑、评估和比较。</w:t>
      </w:r>
    </w:p>
    <w:p>
      <w:pPr>
        <w:numPr>
          <w:ilvl w:val="1"/>
          <w:numId w:val="40"/>
        </w:numPr>
        <w:spacing w:beforeLines="50" w:line="320" w:lineRule="exact"/>
        <w:rPr>
          <w:rFonts w:ascii="宋体" w:hAnsi="宋体"/>
          <w:color w:val="auto"/>
          <w:szCs w:val="21"/>
        </w:rPr>
      </w:pPr>
      <w:r>
        <w:rPr>
          <w:rFonts w:hint="eastAsia" w:ascii="宋体" w:hAnsi="宋体"/>
          <w:color w:val="auto"/>
          <w:szCs w:val="21"/>
        </w:rPr>
        <w:tab/>
      </w:r>
      <w:r>
        <w:rPr>
          <w:rFonts w:hint="eastAsia" w:ascii="宋体" w:hAnsi="宋体"/>
          <w:color w:val="auto"/>
          <w:szCs w:val="21"/>
        </w:rPr>
        <w:t>评标委员会的组成属于保密内容。</w:t>
      </w:r>
    </w:p>
    <w:p>
      <w:pPr>
        <w:pStyle w:val="4"/>
        <w:numPr>
          <w:ilvl w:val="0"/>
          <w:numId w:val="6"/>
        </w:numPr>
        <w:adjustRightInd/>
        <w:spacing w:beforeLines="100" w:after="0" w:line="360" w:lineRule="exact"/>
        <w:textAlignment w:val="auto"/>
        <w:rPr>
          <w:rFonts w:ascii="宋体" w:hAnsi="宋体"/>
          <w:color w:val="auto"/>
          <w:sz w:val="24"/>
        </w:rPr>
      </w:pPr>
      <w:bookmarkStart w:id="136" w:name="_Toc261206972"/>
      <w:bookmarkStart w:id="137" w:name="_Toc193643708"/>
      <w:r>
        <w:rPr>
          <w:rFonts w:hint="eastAsia" w:ascii="宋体" w:hAnsi="宋体"/>
          <w:color w:val="auto"/>
          <w:sz w:val="24"/>
        </w:rPr>
        <w:tab/>
      </w:r>
      <w:bookmarkStart w:id="138" w:name="_Toc384934460"/>
      <w:r>
        <w:rPr>
          <w:rFonts w:hint="eastAsia" w:ascii="宋体" w:hAnsi="宋体"/>
          <w:color w:val="auto"/>
          <w:sz w:val="24"/>
        </w:rPr>
        <w:t>评标工作的基本原则</w:t>
      </w:r>
      <w:bookmarkEnd w:id="136"/>
      <w:bookmarkEnd w:id="137"/>
      <w:bookmarkEnd w:id="138"/>
    </w:p>
    <w:p>
      <w:pPr>
        <w:numPr>
          <w:ilvl w:val="1"/>
          <w:numId w:val="41"/>
        </w:numPr>
        <w:spacing w:beforeLines="50" w:line="320" w:lineRule="exact"/>
        <w:rPr>
          <w:rFonts w:ascii="宋体" w:hAnsi="宋体"/>
          <w:color w:val="auto"/>
          <w:szCs w:val="21"/>
        </w:rPr>
      </w:pPr>
      <w:r>
        <w:rPr>
          <w:rFonts w:hint="eastAsia" w:ascii="宋体" w:hAnsi="宋体"/>
          <w:color w:val="auto"/>
          <w:szCs w:val="21"/>
        </w:rPr>
        <w:tab/>
      </w:r>
      <w:r>
        <w:rPr>
          <w:rFonts w:hint="eastAsia" w:ascii="宋体" w:hAnsi="宋体"/>
          <w:color w:val="auto"/>
          <w:szCs w:val="21"/>
        </w:rPr>
        <w:t>认真贯彻国家有关法律、法规，维护国家利益。保护采购人的各项合法利益。</w:t>
      </w:r>
    </w:p>
    <w:p>
      <w:pPr>
        <w:numPr>
          <w:ilvl w:val="1"/>
          <w:numId w:val="41"/>
        </w:numPr>
        <w:spacing w:beforeLines="50" w:line="320" w:lineRule="exact"/>
        <w:rPr>
          <w:rFonts w:ascii="宋体" w:hAnsi="宋体"/>
          <w:color w:val="auto"/>
          <w:szCs w:val="21"/>
        </w:rPr>
      </w:pPr>
      <w:r>
        <w:rPr>
          <w:rFonts w:hint="eastAsia" w:ascii="宋体" w:hAnsi="宋体"/>
          <w:color w:val="auto"/>
          <w:szCs w:val="21"/>
        </w:rPr>
        <w:tab/>
      </w:r>
      <w:r>
        <w:rPr>
          <w:rFonts w:hint="eastAsia" w:ascii="宋体" w:hAnsi="宋体"/>
          <w:color w:val="auto"/>
          <w:szCs w:val="21"/>
        </w:rPr>
        <w:t>公平、公正地对待所有投标人，对所有投标人的投标评价均采用相同的程序和标准。</w:t>
      </w:r>
    </w:p>
    <w:p>
      <w:pPr>
        <w:numPr>
          <w:ilvl w:val="1"/>
          <w:numId w:val="41"/>
        </w:numPr>
        <w:spacing w:beforeLines="50" w:line="320" w:lineRule="exact"/>
        <w:rPr>
          <w:rFonts w:ascii="宋体" w:hAnsi="宋体"/>
          <w:color w:val="auto"/>
          <w:szCs w:val="21"/>
        </w:rPr>
      </w:pPr>
      <w:r>
        <w:rPr>
          <w:rFonts w:hint="eastAsia" w:ascii="宋体" w:hAnsi="宋体"/>
          <w:color w:val="auto"/>
          <w:szCs w:val="21"/>
        </w:rPr>
        <w:tab/>
      </w:r>
      <w:r>
        <w:rPr>
          <w:rFonts w:hint="eastAsia" w:ascii="宋体" w:hAnsi="宋体"/>
          <w:color w:val="auto"/>
          <w:szCs w:val="21"/>
        </w:rPr>
        <w:t>招标文件、投标文件和依规定允许补充的具有法律效力的其他资料均是评标的依据。</w:t>
      </w:r>
    </w:p>
    <w:p>
      <w:pPr>
        <w:numPr>
          <w:ilvl w:val="1"/>
          <w:numId w:val="41"/>
        </w:numPr>
        <w:spacing w:beforeLines="50" w:line="320" w:lineRule="exact"/>
        <w:rPr>
          <w:rFonts w:ascii="宋体" w:hAnsi="宋体"/>
          <w:color w:val="auto"/>
          <w:szCs w:val="21"/>
        </w:rPr>
      </w:pPr>
      <w:r>
        <w:rPr>
          <w:rFonts w:hint="eastAsia" w:ascii="宋体" w:hAnsi="宋体"/>
          <w:color w:val="auto"/>
          <w:szCs w:val="21"/>
        </w:rPr>
        <w:tab/>
      </w:r>
      <w:r>
        <w:rPr>
          <w:rFonts w:hint="eastAsia" w:ascii="宋体" w:hAnsi="宋体"/>
          <w:color w:val="auto"/>
          <w:szCs w:val="21"/>
        </w:rPr>
        <w:t>开标后，直到授予中标人合同为止，凡属于对投标文件的审查、澄清、评价和比较的有关资料以及中标候选人的推荐情况、与评标有关的其他任何情况均应严格保密。</w:t>
      </w:r>
    </w:p>
    <w:p>
      <w:pPr>
        <w:numPr>
          <w:ilvl w:val="1"/>
          <w:numId w:val="41"/>
        </w:numPr>
        <w:spacing w:beforeLines="50" w:line="320" w:lineRule="exact"/>
        <w:rPr>
          <w:rFonts w:ascii="宋体" w:hAnsi="宋体"/>
          <w:color w:val="auto"/>
          <w:szCs w:val="21"/>
        </w:rPr>
      </w:pPr>
      <w:r>
        <w:rPr>
          <w:rFonts w:hint="eastAsia" w:ascii="宋体" w:hAnsi="宋体"/>
          <w:color w:val="auto"/>
          <w:szCs w:val="21"/>
        </w:rPr>
        <w:tab/>
      </w:r>
      <w:r>
        <w:rPr>
          <w:rFonts w:hint="eastAsia" w:ascii="宋体" w:hAnsi="宋体"/>
          <w:color w:val="auto"/>
          <w:szCs w:val="21"/>
        </w:rPr>
        <w:t>评标委员会成员的评标活动应当独立进行，并应遵循投标文件初审、澄清有关问题、比较与评价、确定中标供应商、编写评标报告的工作程序。</w:t>
      </w:r>
    </w:p>
    <w:p>
      <w:pPr>
        <w:pStyle w:val="3"/>
        <w:numPr>
          <w:ilvl w:val="0"/>
          <w:numId w:val="5"/>
        </w:numPr>
        <w:adjustRightInd/>
        <w:spacing w:beforeLines="150" w:afterLines="50" w:line="360" w:lineRule="exact"/>
        <w:jc w:val="center"/>
        <w:textAlignment w:val="auto"/>
        <w:rPr>
          <w:rFonts w:ascii="宋体" w:hAnsi="宋体" w:eastAsia="宋体"/>
          <w:color w:val="auto"/>
          <w:sz w:val="30"/>
          <w:szCs w:val="30"/>
        </w:rPr>
      </w:pPr>
      <w:bookmarkStart w:id="139" w:name="_Toc261206973"/>
      <w:bookmarkStart w:id="140" w:name="_Toc384934461"/>
      <w:bookmarkStart w:id="141" w:name="_Toc193643709"/>
      <w:r>
        <w:rPr>
          <w:rFonts w:hint="eastAsia" w:ascii="宋体" w:hAnsi="宋体" w:eastAsia="宋体"/>
          <w:color w:val="auto"/>
          <w:sz w:val="30"/>
          <w:szCs w:val="30"/>
        </w:rPr>
        <w:t>评标程序和评标方法</w:t>
      </w:r>
      <w:bookmarkEnd w:id="139"/>
      <w:bookmarkEnd w:id="140"/>
      <w:bookmarkEnd w:id="141"/>
    </w:p>
    <w:p>
      <w:pPr>
        <w:pStyle w:val="4"/>
        <w:numPr>
          <w:ilvl w:val="0"/>
          <w:numId w:val="6"/>
        </w:numPr>
        <w:adjustRightInd/>
        <w:spacing w:beforeLines="100" w:after="0" w:line="360" w:lineRule="exact"/>
        <w:textAlignment w:val="auto"/>
        <w:rPr>
          <w:rFonts w:ascii="宋体" w:hAnsi="宋体"/>
          <w:color w:val="auto"/>
          <w:sz w:val="24"/>
        </w:rPr>
      </w:pPr>
      <w:bookmarkStart w:id="142" w:name="_Toc193643710"/>
      <w:bookmarkStart w:id="143" w:name="_Toc384934462"/>
      <w:bookmarkStart w:id="144" w:name="_Toc261206974"/>
      <w:r>
        <w:rPr>
          <w:rFonts w:hint="eastAsia" w:ascii="宋体" w:hAnsi="宋体"/>
          <w:color w:val="auto"/>
          <w:sz w:val="24"/>
        </w:rPr>
        <w:t>对投标文件的初审</w:t>
      </w:r>
      <w:bookmarkEnd w:id="142"/>
      <w:bookmarkEnd w:id="143"/>
      <w:bookmarkEnd w:id="144"/>
    </w:p>
    <w:p>
      <w:pPr>
        <w:numPr>
          <w:ilvl w:val="1"/>
          <w:numId w:val="42"/>
        </w:numPr>
        <w:spacing w:beforeLines="50" w:line="320" w:lineRule="exact"/>
        <w:rPr>
          <w:rFonts w:ascii="宋体" w:hAnsi="宋体"/>
          <w:color w:val="auto"/>
          <w:szCs w:val="21"/>
        </w:rPr>
      </w:pPr>
      <w:r>
        <w:rPr>
          <w:rFonts w:hint="eastAsia" w:ascii="宋体" w:hAnsi="宋体"/>
          <w:bCs/>
          <w:color w:val="auto"/>
          <w:szCs w:val="21"/>
        </w:rPr>
        <w:tab/>
      </w:r>
      <w:r>
        <w:rPr>
          <w:rFonts w:hint="eastAsia" w:ascii="宋体" w:hAnsi="宋体"/>
          <w:color w:val="auto"/>
          <w:szCs w:val="21"/>
        </w:rPr>
        <w:t>开标后，评标委员会将根据招标文件要求对投标文件进行审查。</w:t>
      </w:r>
    </w:p>
    <w:p>
      <w:pPr>
        <w:numPr>
          <w:ilvl w:val="1"/>
          <w:numId w:val="42"/>
        </w:numPr>
        <w:spacing w:beforeLines="50" w:line="320" w:lineRule="exact"/>
        <w:rPr>
          <w:rFonts w:ascii="宋体" w:hAnsi="宋体"/>
          <w:color w:val="auto"/>
          <w:szCs w:val="21"/>
        </w:rPr>
      </w:pPr>
      <w:r>
        <w:rPr>
          <w:rFonts w:hint="eastAsia" w:ascii="宋体" w:hAnsi="宋体"/>
          <w:color w:val="auto"/>
          <w:szCs w:val="21"/>
        </w:rPr>
        <w:tab/>
      </w:r>
      <w:r>
        <w:rPr>
          <w:rFonts w:hint="eastAsia" w:ascii="宋体" w:hAnsi="宋体"/>
          <w:color w:val="auto"/>
          <w:szCs w:val="21"/>
        </w:rPr>
        <w:t>资格性审查</w:t>
      </w:r>
    </w:p>
    <w:p>
      <w:pPr>
        <w:numPr>
          <w:ilvl w:val="0"/>
          <w:numId w:val="43"/>
        </w:numPr>
        <w:snapToGrid w:val="0"/>
        <w:spacing w:beforeLines="50" w:line="280" w:lineRule="exact"/>
        <w:rPr>
          <w:rFonts w:ascii="宋体" w:hAnsi="宋体"/>
          <w:color w:val="auto"/>
          <w:szCs w:val="21"/>
        </w:rPr>
      </w:pPr>
      <w:r>
        <w:rPr>
          <w:rFonts w:hint="eastAsia" w:ascii="宋体" w:hAnsi="宋体"/>
          <w:color w:val="auto"/>
          <w:szCs w:val="21"/>
        </w:rPr>
        <w:t>是否具备招标文件所列的资质条件或符合国家有关法律规定；</w:t>
      </w:r>
    </w:p>
    <w:p>
      <w:pPr>
        <w:numPr>
          <w:ilvl w:val="0"/>
          <w:numId w:val="43"/>
        </w:numPr>
        <w:snapToGrid w:val="0"/>
        <w:spacing w:line="360" w:lineRule="exact"/>
        <w:ind w:left="623" w:hanging="510"/>
        <w:rPr>
          <w:rFonts w:ascii="宋体" w:hAnsi="宋体"/>
          <w:color w:val="auto"/>
          <w:szCs w:val="21"/>
        </w:rPr>
      </w:pPr>
      <w:r>
        <w:rPr>
          <w:rFonts w:hint="eastAsia" w:ascii="宋体" w:hAnsi="宋体"/>
          <w:color w:val="auto"/>
          <w:szCs w:val="21"/>
        </w:rPr>
        <w:t>是否提交招标文件要求的资格证明文件；</w:t>
      </w:r>
    </w:p>
    <w:p>
      <w:pPr>
        <w:numPr>
          <w:ilvl w:val="0"/>
          <w:numId w:val="43"/>
        </w:numPr>
        <w:snapToGrid w:val="0"/>
        <w:spacing w:line="360" w:lineRule="exact"/>
        <w:ind w:left="623" w:hanging="510"/>
        <w:rPr>
          <w:rFonts w:ascii="宋体" w:hAnsi="宋体"/>
          <w:color w:val="auto"/>
          <w:szCs w:val="21"/>
        </w:rPr>
      </w:pPr>
      <w:r>
        <w:rPr>
          <w:rFonts w:hint="eastAsia" w:ascii="宋体" w:hAnsi="宋体"/>
          <w:color w:val="auto"/>
          <w:szCs w:val="21"/>
        </w:rPr>
        <w:t>投标保证金是否已经足额缴纳。</w:t>
      </w:r>
    </w:p>
    <w:p>
      <w:pPr>
        <w:numPr>
          <w:ilvl w:val="1"/>
          <w:numId w:val="42"/>
        </w:numPr>
        <w:spacing w:beforeLines="50" w:line="320" w:lineRule="exact"/>
        <w:rPr>
          <w:rFonts w:ascii="宋体" w:hAnsi="宋体"/>
          <w:color w:val="auto"/>
          <w:szCs w:val="21"/>
        </w:rPr>
      </w:pPr>
      <w:r>
        <w:rPr>
          <w:rFonts w:hint="eastAsia" w:ascii="宋体" w:hAnsi="宋体"/>
          <w:bCs/>
          <w:color w:val="auto"/>
          <w:szCs w:val="21"/>
        </w:rPr>
        <w:tab/>
      </w:r>
      <w:r>
        <w:rPr>
          <w:rFonts w:hint="eastAsia" w:ascii="宋体" w:hAnsi="宋体"/>
          <w:color w:val="auto"/>
          <w:szCs w:val="21"/>
        </w:rPr>
        <w:t>符合性审查</w:t>
      </w:r>
    </w:p>
    <w:p>
      <w:pPr>
        <w:numPr>
          <w:ilvl w:val="0"/>
          <w:numId w:val="44"/>
        </w:numPr>
        <w:snapToGrid w:val="0"/>
        <w:spacing w:beforeLines="50" w:line="280" w:lineRule="exact"/>
        <w:rPr>
          <w:rFonts w:ascii="宋体" w:hAnsi="宋体"/>
          <w:color w:val="auto"/>
          <w:szCs w:val="21"/>
        </w:rPr>
      </w:pPr>
      <w:r>
        <w:rPr>
          <w:rFonts w:hint="eastAsia" w:ascii="宋体" w:hAnsi="宋体"/>
          <w:color w:val="auto"/>
          <w:szCs w:val="21"/>
        </w:rPr>
        <w:t>是否按招标文件的要求制作投标文件，并按招标文件要求提供相关资料；</w:t>
      </w:r>
    </w:p>
    <w:p>
      <w:pPr>
        <w:numPr>
          <w:ilvl w:val="0"/>
          <w:numId w:val="44"/>
        </w:numPr>
        <w:snapToGrid w:val="0"/>
        <w:spacing w:line="360" w:lineRule="exact"/>
        <w:ind w:left="623" w:hanging="510"/>
        <w:rPr>
          <w:rFonts w:ascii="宋体" w:hAnsi="宋体"/>
          <w:color w:val="auto"/>
          <w:szCs w:val="21"/>
        </w:rPr>
      </w:pPr>
      <w:r>
        <w:rPr>
          <w:rFonts w:hint="eastAsia" w:ascii="宋体" w:hAnsi="宋体"/>
          <w:color w:val="auto"/>
          <w:szCs w:val="21"/>
        </w:rPr>
        <w:t>所有文件是否合法有效的签署；</w:t>
      </w:r>
    </w:p>
    <w:p>
      <w:pPr>
        <w:numPr>
          <w:ilvl w:val="0"/>
          <w:numId w:val="44"/>
        </w:numPr>
        <w:snapToGrid w:val="0"/>
        <w:spacing w:line="360" w:lineRule="exact"/>
        <w:ind w:left="623" w:hanging="510"/>
        <w:rPr>
          <w:rFonts w:ascii="宋体" w:hAnsi="宋体"/>
          <w:color w:val="auto"/>
          <w:szCs w:val="21"/>
        </w:rPr>
      </w:pPr>
      <w:r>
        <w:rPr>
          <w:rFonts w:hint="eastAsia" w:ascii="宋体" w:hAnsi="宋体"/>
          <w:color w:val="auto"/>
          <w:szCs w:val="21"/>
        </w:rPr>
        <w:t>投标总价是否超过资金预算限额，采购人不能支付；</w:t>
      </w:r>
    </w:p>
    <w:p>
      <w:pPr>
        <w:numPr>
          <w:ilvl w:val="0"/>
          <w:numId w:val="44"/>
        </w:numPr>
        <w:snapToGrid w:val="0"/>
        <w:spacing w:line="360" w:lineRule="exact"/>
        <w:ind w:left="623" w:hanging="510"/>
        <w:rPr>
          <w:rFonts w:ascii="宋体" w:hAnsi="宋体"/>
          <w:color w:val="auto"/>
          <w:szCs w:val="21"/>
        </w:rPr>
      </w:pPr>
      <w:r>
        <w:rPr>
          <w:rFonts w:hint="eastAsia" w:ascii="宋体" w:hAnsi="宋体"/>
          <w:color w:val="auto"/>
          <w:szCs w:val="21"/>
        </w:rPr>
        <w:t>投标文件载明的交货期是否满足招标文件的规定；</w:t>
      </w:r>
    </w:p>
    <w:p>
      <w:pPr>
        <w:numPr>
          <w:ilvl w:val="0"/>
          <w:numId w:val="44"/>
        </w:numPr>
        <w:snapToGrid w:val="0"/>
        <w:spacing w:line="360" w:lineRule="exact"/>
        <w:ind w:left="623" w:hanging="510"/>
        <w:rPr>
          <w:rFonts w:ascii="宋体" w:hAnsi="宋体"/>
          <w:color w:val="auto"/>
          <w:szCs w:val="21"/>
        </w:rPr>
      </w:pPr>
      <w:r>
        <w:rPr>
          <w:rFonts w:hint="eastAsia" w:ascii="宋体" w:hAnsi="宋体"/>
          <w:color w:val="auto"/>
          <w:szCs w:val="21"/>
        </w:rPr>
        <w:t>法律、法规规定的其他情况。</w:t>
      </w:r>
    </w:p>
    <w:p>
      <w:pPr>
        <w:numPr>
          <w:ilvl w:val="1"/>
          <w:numId w:val="42"/>
        </w:numPr>
        <w:spacing w:beforeLines="50" w:line="320" w:lineRule="exact"/>
        <w:rPr>
          <w:rFonts w:ascii="宋体" w:hAnsi="宋体"/>
          <w:color w:val="auto"/>
          <w:szCs w:val="21"/>
        </w:rPr>
      </w:pPr>
      <w:r>
        <w:rPr>
          <w:rFonts w:hint="eastAsia" w:ascii="宋体" w:hAnsi="宋体"/>
          <w:color w:val="auto"/>
          <w:szCs w:val="21"/>
        </w:rPr>
        <w:t>招标人将拒绝未通过上述审查的投标文件。</w:t>
      </w:r>
    </w:p>
    <w:p>
      <w:pPr>
        <w:pStyle w:val="4"/>
        <w:numPr>
          <w:ilvl w:val="0"/>
          <w:numId w:val="6"/>
        </w:numPr>
        <w:adjustRightInd/>
        <w:spacing w:beforeLines="100" w:after="0" w:line="360" w:lineRule="exact"/>
        <w:textAlignment w:val="auto"/>
        <w:rPr>
          <w:rFonts w:ascii="宋体" w:hAnsi="宋体"/>
          <w:color w:val="auto"/>
          <w:sz w:val="24"/>
        </w:rPr>
      </w:pPr>
      <w:bookmarkStart w:id="145" w:name="_Toc193643711"/>
      <w:bookmarkStart w:id="146" w:name="_Toc261206975"/>
      <w:r>
        <w:rPr>
          <w:rFonts w:hint="eastAsia" w:ascii="宋体" w:hAnsi="宋体"/>
          <w:color w:val="auto"/>
          <w:sz w:val="24"/>
        </w:rPr>
        <w:tab/>
      </w:r>
      <w:bookmarkStart w:id="147" w:name="_Toc384934463"/>
      <w:r>
        <w:rPr>
          <w:rFonts w:hint="eastAsia" w:ascii="宋体" w:hAnsi="宋体"/>
          <w:color w:val="auto"/>
          <w:sz w:val="24"/>
        </w:rPr>
        <w:t>投标文件的澄清和修正</w:t>
      </w:r>
      <w:bookmarkEnd w:id="145"/>
      <w:bookmarkEnd w:id="146"/>
      <w:bookmarkEnd w:id="147"/>
    </w:p>
    <w:p>
      <w:pPr>
        <w:numPr>
          <w:ilvl w:val="1"/>
          <w:numId w:val="45"/>
        </w:numPr>
        <w:spacing w:beforeLines="50" w:line="320" w:lineRule="exact"/>
        <w:rPr>
          <w:rFonts w:ascii="宋体" w:hAnsi="宋体"/>
          <w:color w:val="auto"/>
          <w:szCs w:val="21"/>
        </w:rPr>
      </w:pPr>
      <w:r>
        <w:rPr>
          <w:rFonts w:hint="eastAsia" w:ascii="宋体" w:hAnsi="宋体"/>
          <w:bCs/>
          <w:color w:val="auto"/>
          <w:szCs w:val="21"/>
        </w:rPr>
        <w:tab/>
      </w:r>
      <w:r>
        <w:rPr>
          <w:rFonts w:hint="eastAsia" w:ascii="宋体" w:hAnsi="宋体"/>
          <w:color w:val="auto"/>
          <w:szCs w:val="21"/>
        </w:rPr>
        <w:t>为了有助于对投标文件进行审查、评估和比较，在评标期间，投标人应根据评标专家的要求派代表参加询标。</w:t>
      </w:r>
    </w:p>
    <w:p>
      <w:pPr>
        <w:numPr>
          <w:ilvl w:val="1"/>
          <w:numId w:val="45"/>
        </w:numPr>
        <w:spacing w:beforeLines="50" w:line="320" w:lineRule="exact"/>
        <w:rPr>
          <w:rFonts w:ascii="宋体" w:hAnsi="宋体"/>
          <w:color w:val="auto"/>
          <w:szCs w:val="21"/>
        </w:rPr>
      </w:pPr>
      <w:r>
        <w:rPr>
          <w:rFonts w:hint="eastAsia" w:ascii="宋体" w:hAnsi="宋体"/>
          <w:color w:val="auto"/>
          <w:szCs w:val="21"/>
        </w:rPr>
        <w:tab/>
      </w:r>
      <w:r>
        <w:rPr>
          <w:rFonts w:hint="eastAsia" w:ascii="宋体" w:hAnsi="宋体"/>
          <w:color w:val="auto"/>
          <w:szCs w:val="21"/>
        </w:rPr>
        <w:t>对投标文件含义不明确、同类问题表述不一致或者有明显文字和计算错误的内容，评标委员会有权要求投标人做出必要澄清、说明或者纠正。投标人的澄清、说明或补正应采用书面形式，应有投标全权代表的签字，并将作为投标内容的一部分，并不得超出投标文件的范围或者改变投标文件的实质性的内容。</w:t>
      </w:r>
    </w:p>
    <w:p>
      <w:pPr>
        <w:numPr>
          <w:ilvl w:val="1"/>
          <w:numId w:val="45"/>
        </w:numPr>
        <w:spacing w:beforeLines="50" w:line="320" w:lineRule="exact"/>
        <w:rPr>
          <w:rFonts w:ascii="宋体" w:hAnsi="宋体"/>
          <w:color w:val="auto"/>
          <w:szCs w:val="21"/>
        </w:rPr>
      </w:pPr>
      <w:r>
        <w:rPr>
          <w:rFonts w:hint="eastAsia" w:ascii="宋体" w:hAnsi="宋体"/>
          <w:color w:val="auto"/>
          <w:szCs w:val="21"/>
        </w:rPr>
        <w:tab/>
      </w:r>
      <w:r>
        <w:rPr>
          <w:rFonts w:hint="eastAsia" w:ascii="宋体" w:hAnsi="宋体"/>
          <w:color w:val="auto"/>
          <w:szCs w:val="21"/>
        </w:rPr>
        <w:t>评标委员会将对确定为实质上响应招标文件要求的投标文件进行校核，看其是否有计算上、累计上或表达上的错误，修正错误的原则如下：</w:t>
      </w:r>
    </w:p>
    <w:p>
      <w:pPr>
        <w:numPr>
          <w:ilvl w:val="0"/>
          <w:numId w:val="46"/>
        </w:numPr>
        <w:snapToGrid w:val="0"/>
        <w:spacing w:line="320" w:lineRule="exact"/>
        <w:rPr>
          <w:rFonts w:ascii="宋体" w:hAnsi="宋体"/>
          <w:color w:val="auto"/>
          <w:szCs w:val="21"/>
        </w:rPr>
      </w:pPr>
      <w:r>
        <w:rPr>
          <w:rFonts w:hint="eastAsia" w:ascii="宋体" w:hAnsi="宋体"/>
          <w:color w:val="auto"/>
          <w:szCs w:val="21"/>
        </w:rPr>
        <w:t>大写金额和小写金额不一致的，以大写金额为准；总价金额与按单价汇总金额不一致的，以单价金额计算结果为准；单价金额小数点有明显错位的，应以总价为准，并修改单价；对不同文字文本对投标文件的解释发生异议的，以中文文本为准。</w:t>
      </w:r>
    </w:p>
    <w:p>
      <w:pPr>
        <w:numPr>
          <w:ilvl w:val="0"/>
          <w:numId w:val="46"/>
        </w:numPr>
        <w:snapToGrid w:val="0"/>
        <w:spacing w:line="360" w:lineRule="exact"/>
        <w:rPr>
          <w:rFonts w:ascii="宋体" w:hAnsi="宋体"/>
          <w:color w:val="auto"/>
          <w:szCs w:val="21"/>
        </w:rPr>
      </w:pPr>
      <w:r>
        <w:rPr>
          <w:rFonts w:hint="eastAsia" w:ascii="宋体" w:hAnsi="宋体"/>
          <w:color w:val="auto"/>
          <w:szCs w:val="21"/>
        </w:rPr>
        <w:t>投标报价有差异时，以开标一览表为准。</w:t>
      </w:r>
    </w:p>
    <w:p>
      <w:pPr>
        <w:numPr>
          <w:ilvl w:val="0"/>
          <w:numId w:val="46"/>
        </w:numPr>
        <w:snapToGrid w:val="0"/>
        <w:spacing w:line="360" w:lineRule="exact"/>
        <w:rPr>
          <w:rFonts w:ascii="宋体" w:hAnsi="宋体"/>
          <w:color w:val="auto"/>
          <w:szCs w:val="21"/>
        </w:rPr>
      </w:pPr>
      <w:r>
        <w:rPr>
          <w:rFonts w:hint="eastAsia" w:ascii="宋体" w:hAnsi="宋体"/>
          <w:color w:val="auto"/>
          <w:szCs w:val="21"/>
        </w:rPr>
        <w:t>如投标文件正本与副本有出入，以正本为准。</w:t>
      </w:r>
    </w:p>
    <w:p>
      <w:pPr>
        <w:numPr>
          <w:ilvl w:val="0"/>
          <w:numId w:val="46"/>
        </w:numPr>
        <w:snapToGrid w:val="0"/>
        <w:spacing w:line="360" w:lineRule="exact"/>
        <w:rPr>
          <w:rFonts w:ascii="宋体" w:hAnsi="宋体"/>
          <w:color w:val="auto"/>
          <w:szCs w:val="21"/>
        </w:rPr>
      </w:pPr>
      <w:r>
        <w:rPr>
          <w:rFonts w:hint="eastAsia" w:ascii="宋体" w:hAnsi="宋体"/>
          <w:color w:val="auto"/>
          <w:szCs w:val="21"/>
        </w:rPr>
        <w:t>按上述修正错误的原则及方法调整或修正投标文件的投标报价，投标人同意后，调整后的投标报价对投标人起约束作用。如果投标人不接受修正后的报价，则其投标将被拒绝，其投标保证金不予退还。</w:t>
      </w:r>
    </w:p>
    <w:p>
      <w:pPr>
        <w:numPr>
          <w:ilvl w:val="1"/>
          <w:numId w:val="45"/>
        </w:numPr>
        <w:spacing w:beforeLines="50" w:line="320" w:lineRule="exact"/>
        <w:rPr>
          <w:rFonts w:ascii="宋体" w:hAnsi="宋体"/>
          <w:color w:val="auto"/>
          <w:szCs w:val="21"/>
        </w:rPr>
      </w:pPr>
      <w:r>
        <w:rPr>
          <w:rFonts w:hint="eastAsia" w:ascii="宋体" w:hAnsi="宋体"/>
          <w:bCs/>
          <w:color w:val="auto"/>
          <w:szCs w:val="21"/>
        </w:rPr>
        <w:tab/>
      </w:r>
      <w:r>
        <w:rPr>
          <w:rFonts w:hint="eastAsia" w:ascii="宋体" w:hAnsi="宋体"/>
          <w:color w:val="auto"/>
          <w:szCs w:val="21"/>
        </w:rPr>
        <w:t>与招标文件有重大偏离的投标文件将被拒绝。重大偏离系指投标货物的质量、数量、交货期等商务条款及货物的技术参数明显不能满足招标文件的要求。这些偏离不允许在开标后修正。</w:t>
      </w:r>
    </w:p>
    <w:p>
      <w:pPr>
        <w:numPr>
          <w:ilvl w:val="1"/>
          <w:numId w:val="45"/>
        </w:numPr>
        <w:spacing w:beforeLines="50" w:line="320" w:lineRule="exact"/>
        <w:rPr>
          <w:rFonts w:ascii="宋体" w:hAnsi="宋体"/>
          <w:color w:val="auto"/>
          <w:szCs w:val="21"/>
        </w:rPr>
      </w:pPr>
      <w:r>
        <w:rPr>
          <w:rFonts w:hint="eastAsia" w:ascii="宋体" w:hAnsi="宋体"/>
          <w:color w:val="auto"/>
          <w:szCs w:val="21"/>
        </w:rPr>
        <w:tab/>
      </w:r>
      <w:r>
        <w:rPr>
          <w:rFonts w:hint="eastAsia" w:ascii="宋体" w:hAnsi="宋体"/>
          <w:color w:val="auto"/>
          <w:szCs w:val="21"/>
        </w:rPr>
        <w:t>招标人有权根据投标人的投标文件对招标文件实质性响应的程度决定接受其全部或部分的投标。</w:t>
      </w:r>
    </w:p>
    <w:p>
      <w:pPr>
        <w:numPr>
          <w:ilvl w:val="1"/>
          <w:numId w:val="45"/>
        </w:numPr>
        <w:spacing w:beforeLines="50" w:line="320" w:lineRule="exact"/>
        <w:rPr>
          <w:rFonts w:ascii="宋体" w:hAnsi="宋体"/>
          <w:color w:val="auto"/>
          <w:szCs w:val="21"/>
        </w:rPr>
      </w:pPr>
      <w:r>
        <w:rPr>
          <w:rFonts w:hint="eastAsia" w:ascii="宋体" w:hAnsi="宋体"/>
          <w:color w:val="auto"/>
          <w:szCs w:val="21"/>
        </w:rPr>
        <w:tab/>
      </w:r>
      <w:r>
        <w:rPr>
          <w:rFonts w:hint="eastAsia" w:ascii="宋体" w:hAnsi="宋体"/>
          <w:color w:val="auto"/>
          <w:szCs w:val="21"/>
        </w:rPr>
        <w:t>招标人对投标文件的判定，只依据投标文件本身，不依靠开标后的任何外来证明。</w:t>
      </w:r>
    </w:p>
    <w:p>
      <w:pPr>
        <w:pStyle w:val="4"/>
        <w:numPr>
          <w:ilvl w:val="0"/>
          <w:numId w:val="6"/>
        </w:numPr>
        <w:adjustRightInd/>
        <w:spacing w:beforeLines="100" w:after="0" w:line="360" w:lineRule="exact"/>
        <w:textAlignment w:val="auto"/>
        <w:rPr>
          <w:rFonts w:ascii="宋体" w:hAnsi="宋体"/>
          <w:color w:val="auto"/>
          <w:sz w:val="24"/>
        </w:rPr>
      </w:pPr>
      <w:bookmarkStart w:id="148" w:name="_Toc193643712"/>
      <w:bookmarkStart w:id="149" w:name="_Toc384934464"/>
      <w:bookmarkStart w:id="150" w:name="_Toc261206976"/>
      <w:r>
        <w:rPr>
          <w:rFonts w:hint="eastAsia" w:ascii="宋体" w:hAnsi="宋体"/>
          <w:color w:val="auto"/>
          <w:sz w:val="24"/>
        </w:rPr>
        <w:t>对投标文件的评估和比较</w:t>
      </w:r>
      <w:bookmarkEnd w:id="148"/>
      <w:bookmarkEnd w:id="149"/>
      <w:bookmarkEnd w:id="150"/>
    </w:p>
    <w:p>
      <w:pPr>
        <w:numPr>
          <w:ilvl w:val="1"/>
          <w:numId w:val="47"/>
        </w:numPr>
        <w:spacing w:beforeLines="50" w:line="320" w:lineRule="exact"/>
        <w:rPr>
          <w:rFonts w:ascii="宋体" w:hAnsi="宋体"/>
          <w:color w:val="auto"/>
          <w:szCs w:val="21"/>
        </w:rPr>
      </w:pPr>
      <w:r>
        <w:rPr>
          <w:rFonts w:hint="eastAsia" w:ascii="宋体" w:hAnsi="宋体"/>
          <w:bCs/>
          <w:color w:val="auto"/>
          <w:szCs w:val="21"/>
        </w:rPr>
        <w:tab/>
      </w:r>
      <w:r>
        <w:rPr>
          <w:rFonts w:hint="eastAsia" w:ascii="宋体" w:hAnsi="宋体"/>
          <w:color w:val="auto"/>
          <w:szCs w:val="21"/>
        </w:rPr>
        <w:t>招标人及其组织的评标委员会将对实质性响应的投标文件进行评估和比较。</w:t>
      </w:r>
    </w:p>
    <w:p>
      <w:pPr>
        <w:numPr>
          <w:ilvl w:val="1"/>
          <w:numId w:val="47"/>
        </w:numPr>
        <w:spacing w:beforeLines="50" w:line="320" w:lineRule="exact"/>
        <w:rPr>
          <w:rFonts w:ascii="宋体" w:hAnsi="宋体"/>
          <w:color w:val="auto"/>
          <w:szCs w:val="21"/>
        </w:rPr>
      </w:pPr>
      <w:r>
        <w:rPr>
          <w:rFonts w:hint="eastAsia" w:ascii="宋体" w:hAnsi="宋体"/>
          <w:color w:val="auto"/>
          <w:szCs w:val="21"/>
        </w:rPr>
        <w:tab/>
      </w:r>
      <w:r>
        <w:rPr>
          <w:rFonts w:hint="eastAsia" w:ascii="宋体" w:hAnsi="宋体"/>
          <w:color w:val="auto"/>
          <w:szCs w:val="21"/>
        </w:rPr>
        <w:t xml:space="preserve">评标时除考虑投标报价以外，还将考虑以下因素： </w:t>
      </w:r>
    </w:p>
    <w:p>
      <w:pPr>
        <w:numPr>
          <w:ilvl w:val="0"/>
          <w:numId w:val="48"/>
        </w:numPr>
        <w:snapToGrid w:val="0"/>
        <w:spacing w:line="360" w:lineRule="exact"/>
        <w:rPr>
          <w:rFonts w:ascii="宋体" w:hAnsi="宋体"/>
          <w:color w:val="auto"/>
          <w:szCs w:val="21"/>
        </w:rPr>
      </w:pPr>
      <w:r>
        <w:rPr>
          <w:rFonts w:hint="eastAsia" w:ascii="宋体" w:hAnsi="宋体"/>
          <w:color w:val="auto"/>
          <w:szCs w:val="21"/>
        </w:rPr>
        <w:t>技术方案；</w:t>
      </w:r>
    </w:p>
    <w:p>
      <w:pPr>
        <w:numPr>
          <w:ilvl w:val="0"/>
          <w:numId w:val="48"/>
        </w:numPr>
        <w:snapToGrid w:val="0"/>
        <w:spacing w:line="360" w:lineRule="exact"/>
        <w:rPr>
          <w:rFonts w:ascii="宋体" w:hAnsi="宋体"/>
          <w:color w:val="auto"/>
          <w:szCs w:val="21"/>
        </w:rPr>
      </w:pPr>
      <w:r>
        <w:rPr>
          <w:rFonts w:hint="eastAsia" w:ascii="宋体" w:hAnsi="宋体"/>
          <w:color w:val="auto"/>
          <w:szCs w:val="21"/>
        </w:rPr>
        <w:t>货物的使用寿命、质保期后的维修费用；</w:t>
      </w:r>
    </w:p>
    <w:p>
      <w:pPr>
        <w:numPr>
          <w:ilvl w:val="0"/>
          <w:numId w:val="48"/>
        </w:numPr>
        <w:snapToGrid w:val="0"/>
        <w:spacing w:line="360" w:lineRule="exact"/>
        <w:rPr>
          <w:rFonts w:ascii="宋体" w:hAnsi="宋体"/>
          <w:color w:val="auto"/>
          <w:szCs w:val="21"/>
        </w:rPr>
      </w:pPr>
      <w:r>
        <w:rPr>
          <w:rFonts w:hint="eastAsia" w:ascii="宋体" w:hAnsi="宋体"/>
          <w:color w:val="auto"/>
          <w:szCs w:val="21"/>
        </w:rPr>
        <w:t>与合同条款规定的付款条件的偏差；</w:t>
      </w:r>
    </w:p>
    <w:p>
      <w:pPr>
        <w:numPr>
          <w:ilvl w:val="0"/>
          <w:numId w:val="48"/>
        </w:numPr>
        <w:snapToGrid w:val="0"/>
        <w:spacing w:line="360" w:lineRule="exact"/>
        <w:rPr>
          <w:rFonts w:ascii="宋体" w:hAnsi="宋体"/>
          <w:color w:val="auto"/>
          <w:szCs w:val="21"/>
        </w:rPr>
      </w:pPr>
      <w:r>
        <w:rPr>
          <w:rFonts w:hint="eastAsia" w:ascii="宋体" w:hAnsi="宋体"/>
          <w:color w:val="auto"/>
          <w:szCs w:val="21"/>
        </w:rPr>
        <w:t>备品备件的供应；</w:t>
      </w:r>
    </w:p>
    <w:p>
      <w:pPr>
        <w:numPr>
          <w:ilvl w:val="0"/>
          <w:numId w:val="48"/>
        </w:numPr>
        <w:snapToGrid w:val="0"/>
        <w:spacing w:line="360" w:lineRule="exact"/>
        <w:rPr>
          <w:rFonts w:ascii="宋体" w:hAnsi="宋体"/>
          <w:color w:val="auto"/>
          <w:szCs w:val="21"/>
        </w:rPr>
      </w:pPr>
      <w:r>
        <w:rPr>
          <w:rFonts w:hint="eastAsia" w:ascii="宋体" w:hAnsi="宋体"/>
          <w:color w:val="auto"/>
          <w:szCs w:val="21"/>
        </w:rPr>
        <w:t xml:space="preserve">交货时间、调试时间； </w:t>
      </w:r>
    </w:p>
    <w:p>
      <w:pPr>
        <w:numPr>
          <w:ilvl w:val="0"/>
          <w:numId w:val="48"/>
        </w:numPr>
        <w:snapToGrid w:val="0"/>
        <w:spacing w:line="360" w:lineRule="exact"/>
        <w:rPr>
          <w:rFonts w:ascii="宋体" w:hAnsi="宋体"/>
          <w:color w:val="auto"/>
          <w:szCs w:val="21"/>
        </w:rPr>
      </w:pPr>
      <w:r>
        <w:rPr>
          <w:rFonts w:hint="eastAsia" w:ascii="宋体" w:hAnsi="宋体"/>
          <w:color w:val="auto"/>
          <w:szCs w:val="21"/>
        </w:rPr>
        <w:t>运输条件及费用；</w:t>
      </w:r>
    </w:p>
    <w:p>
      <w:pPr>
        <w:numPr>
          <w:ilvl w:val="0"/>
          <w:numId w:val="48"/>
        </w:numPr>
        <w:snapToGrid w:val="0"/>
        <w:spacing w:line="360" w:lineRule="exact"/>
        <w:rPr>
          <w:rFonts w:ascii="宋体" w:hAnsi="宋体"/>
          <w:color w:val="auto"/>
          <w:szCs w:val="21"/>
        </w:rPr>
      </w:pPr>
      <w:r>
        <w:rPr>
          <w:rFonts w:hint="eastAsia" w:ascii="宋体" w:hAnsi="宋体"/>
          <w:color w:val="auto"/>
          <w:szCs w:val="21"/>
        </w:rPr>
        <w:t>经营信誉；</w:t>
      </w:r>
    </w:p>
    <w:p>
      <w:pPr>
        <w:numPr>
          <w:ilvl w:val="0"/>
          <w:numId w:val="48"/>
        </w:numPr>
        <w:snapToGrid w:val="0"/>
        <w:spacing w:line="360" w:lineRule="exact"/>
        <w:rPr>
          <w:rFonts w:ascii="宋体" w:hAnsi="宋体"/>
          <w:color w:val="auto"/>
          <w:szCs w:val="21"/>
        </w:rPr>
      </w:pPr>
      <w:r>
        <w:rPr>
          <w:rFonts w:hint="eastAsia" w:ascii="宋体" w:hAnsi="宋体"/>
          <w:color w:val="auto"/>
          <w:szCs w:val="21"/>
        </w:rPr>
        <w:t>售后服务承诺；</w:t>
      </w:r>
    </w:p>
    <w:p>
      <w:pPr>
        <w:numPr>
          <w:ilvl w:val="0"/>
          <w:numId w:val="48"/>
        </w:numPr>
        <w:snapToGrid w:val="0"/>
        <w:spacing w:line="360" w:lineRule="exact"/>
        <w:rPr>
          <w:rFonts w:ascii="宋体" w:hAnsi="宋体"/>
          <w:color w:val="auto"/>
          <w:szCs w:val="21"/>
        </w:rPr>
      </w:pPr>
      <w:r>
        <w:rPr>
          <w:rFonts w:hint="eastAsia" w:ascii="宋体" w:hAnsi="宋体"/>
          <w:color w:val="auto"/>
          <w:szCs w:val="21"/>
        </w:rPr>
        <w:t>技术规格所要求的有关服务的费用；</w:t>
      </w:r>
    </w:p>
    <w:p>
      <w:pPr>
        <w:numPr>
          <w:ilvl w:val="0"/>
          <w:numId w:val="48"/>
        </w:numPr>
        <w:snapToGrid w:val="0"/>
        <w:spacing w:line="360" w:lineRule="exact"/>
        <w:rPr>
          <w:rFonts w:ascii="宋体" w:hAnsi="宋体"/>
          <w:color w:val="auto"/>
          <w:szCs w:val="21"/>
        </w:rPr>
      </w:pPr>
      <w:r>
        <w:rPr>
          <w:rFonts w:hint="eastAsia" w:ascii="宋体" w:hAnsi="宋体"/>
          <w:color w:val="auto"/>
          <w:szCs w:val="21"/>
        </w:rPr>
        <w:t>投标优惠声明；</w:t>
      </w:r>
    </w:p>
    <w:p>
      <w:pPr>
        <w:numPr>
          <w:ilvl w:val="0"/>
          <w:numId w:val="48"/>
        </w:numPr>
        <w:snapToGrid w:val="0"/>
        <w:spacing w:line="360" w:lineRule="exact"/>
        <w:rPr>
          <w:rFonts w:ascii="宋体" w:hAnsi="宋体"/>
          <w:color w:val="auto"/>
          <w:szCs w:val="21"/>
        </w:rPr>
      </w:pPr>
      <w:r>
        <w:rPr>
          <w:rFonts w:hint="eastAsia" w:ascii="宋体" w:hAnsi="宋体"/>
          <w:color w:val="auto"/>
          <w:szCs w:val="21"/>
        </w:rPr>
        <w:t>其它特殊要求因素（如安全及环保等）。</w:t>
      </w:r>
    </w:p>
    <w:p>
      <w:pPr>
        <w:pStyle w:val="4"/>
        <w:numPr>
          <w:ilvl w:val="0"/>
          <w:numId w:val="6"/>
        </w:numPr>
        <w:adjustRightInd/>
        <w:spacing w:beforeLines="100" w:after="0" w:line="360" w:lineRule="exact"/>
        <w:textAlignment w:val="auto"/>
        <w:rPr>
          <w:rFonts w:ascii="宋体" w:hAnsi="宋体"/>
          <w:color w:val="auto"/>
          <w:sz w:val="24"/>
        </w:rPr>
      </w:pPr>
      <w:bookmarkStart w:id="151" w:name="_Toc384934465"/>
      <w:r>
        <w:rPr>
          <w:rFonts w:hint="eastAsia" w:ascii="宋体" w:hAnsi="宋体"/>
          <w:color w:val="auto"/>
          <w:sz w:val="24"/>
        </w:rPr>
        <w:t>无效投标</w:t>
      </w:r>
      <w:bookmarkEnd w:id="151"/>
    </w:p>
    <w:p>
      <w:pPr>
        <w:numPr>
          <w:ilvl w:val="1"/>
          <w:numId w:val="49"/>
        </w:numPr>
        <w:spacing w:beforeLines="50" w:line="320" w:lineRule="exact"/>
        <w:rPr>
          <w:rFonts w:ascii="宋体" w:hAnsi="宋体"/>
          <w:bCs/>
          <w:color w:val="auto"/>
          <w:szCs w:val="21"/>
        </w:rPr>
      </w:pPr>
      <w:r>
        <w:rPr>
          <w:rFonts w:hint="eastAsia" w:ascii="宋体" w:hAnsi="宋体"/>
          <w:bCs/>
          <w:color w:val="auto"/>
          <w:szCs w:val="21"/>
        </w:rPr>
        <w:tab/>
      </w:r>
      <w:r>
        <w:rPr>
          <w:rFonts w:hint="eastAsia" w:ascii="宋体" w:hAnsi="宋体"/>
          <w:bCs/>
          <w:color w:val="auto"/>
          <w:szCs w:val="21"/>
        </w:rPr>
        <w:t>未交投标保证金；</w:t>
      </w:r>
    </w:p>
    <w:p>
      <w:pPr>
        <w:numPr>
          <w:ilvl w:val="1"/>
          <w:numId w:val="49"/>
        </w:numPr>
        <w:spacing w:beforeLines="50" w:line="320" w:lineRule="exact"/>
        <w:rPr>
          <w:rFonts w:ascii="宋体" w:hAnsi="宋体"/>
          <w:bCs/>
          <w:color w:val="auto"/>
          <w:szCs w:val="21"/>
        </w:rPr>
      </w:pPr>
      <w:r>
        <w:rPr>
          <w:rFonts w:hint="eastAsia" w:ascii="宋体" w:hAnsi="宋体"/>
          <w:bCs/>
          <w:color w:val="auto"/>
          <w:szCs w:val="21"/>
        </w:rPr>
        <w:tab/>
      </w:r>
      <w:r>
        <w:rPr>
          <w:rFonts w:hint="eastAsia" w:ascii="宋体" w:hAnsi="宋体"/>
          <w:bCs/>
          <w:color w:val="auto"/>
          <w:szCs w:val="21"/>
        </w:rPr>
        <w:t>未</w:t>
      </w:r>
      <w:r>
        <w:rPr>
          <w:rFonts w:hint="eastAsia" w:ascii="宋体" w:hAnsi="宋体"/>
          <w:color w:val="auto"/>
          <w:szCs w:val="21"/>
        </w:rPr>
        <w:t>按照</w:t>
      </w:r>
      <w:r>
        <w:rPr>
          <w:rFonts w:hint="eastAsia" w:ascii="宋体" w:hAnsi="宋体"/>
          <w:bCs/>
          <w:color w:val="auto"/>
          <w:szCs w:val="21"/>
        </w:rPr>
        <w:t>招标文件规定要求密封、签署、盖章的；</w:t>
      </w:r>
    </w:p>
    <w:p>
      <w:pPr>
        <w:numPr>
          <w:ilvl w:val="1"/>
          <w:numId w:val="49"/>
        </w:numPr>
        <w:spacing w:beforeLines="50" w:line="320" w:lineRule="exact"/>
        <w:rPr>
          <w:rFonts w:ascii="宋体" w:hAnsi="宋体"/>
          <w:bCs/>
          <w:color w:val="auto"/>
          <w:szCs w:val="21"/>
        </w:rPr>
      </w:pPr>
      <w:r>
        <w:rPr>
          <w:rFonts w:hint="eastAsia" w:ascii="宋体" w:hAnsi="宋体"/>
          <w:bCs/>
          <w:color w:val="auto"/>
          <w:szCs w:val="21"/>
        </w:rPr>
        <w:tab/>
      </w:r>
      <w:r>
        <w:rPr>
          <w:rFonts w:hint="eastAsia" w:ascii="宋体" w:hAnsi="宋体"/>
          <w:bCs/>
          <w:color w:val="auto"/>
          <w:szCs w:val="21"/>
        </w:rPr>
        <w:t>不</w:t>
      </w:r>
      <w:r>
        <w:rPr>
          <w:rFonts w:hint="eastAsia" w:ascii="宋体" w:hAnsi="宋体"/>
          <w:color w:val="auto"/>
          <w:szCs w:val="21"/>
        </w:rPr>
        <w:t>具备</w:t>
      </w:r>
      <w:r>
        <w:rPr>
          <w:rFonts w:hint="eastAsia" w:ascii="宋体" w:hAnsi="宋体"/>
          <w:bCs/>
          <w:color w:val="auto"/>
          <w:szCs w:val="21"/>
        </w:rPr>
        <w:t>招标文件中规定资格要求的；</w:t>
      </w:r>
    </w:p>
    <w:p>
      <w:pPr>
        <w:numPr>
          <w:ilvl w:val="1"/>
          <w:numId w:val="49"/>
        </w:numPr>
        <w:spacing w:beforeLines="50" w:line="320" w:lineRule="exact"/>
        <w:rPr>
          <w:rFonts w:ascii="宋体" w:hAnsi="宋体"/>
          <w:bCs/>
          <w:color w:val="auto"/>
          <w:szCs w:val="21"/>
        </w:rPr>
      </w:pPr>
      <w:r>
        <w:rPr>
          <w:rFonts w:hint="eastAsia" w:ascii="宋体" w:hAnsi="宋体"/>
          <w:bCs/>
          <w:color w:val="auto"/>
          <w:szCs w:val="21"/>
        </w:rPr>
        <w:t>招标文件中标注“*”或 “★”符号的条款为实质性要求条款（即重要条款），重要商务条款中有一条或重要技术条款有一条及以上不响应的其投标文件将被拒绝，在评标时将其视为无效投标。</w:t>
      </w:r>
    </w:p>
    <w:p>
      <w:pPr>
        <w:numPr>
          <w:ilvl w:val="1"/>
          <w:numId w:val="49"/>
        </w:numPr>
        <w:spacing w:beforeLines="50" w:line="320" w:lineRule="exact"/>
        <w:rPr>
          <w:rFonts w:ascii="宋体" w:hAnsi="宋体"/>
          <w:bCs/>
          <w:color w:val="auto"/>
          <w:szCs w:val="21"/>
        </w:rPr>
      </w:pPr>
      <w:r>
        <w:rPr>
          <w:rFonts w:hint="eastAsia" w:ascii="宋体" w:hAnsi="宋体"/>
          <w:bCs/>
          <w:color w:val="auto"/>
          <w:szCs w:val="21"/>
        </w:rPr>
        <w:tab/>
      </w:r>
      <w:r>
        <w:rPr>
          <w:rFonts w:hint="eastAsia" w:ascii="宋体" w:hAnsi="宋体"/>
          <w:bCs/>
          <w:color w:val="auto"/>
          <w:szCs w:val="21"/>
        </w:rPr>
        <w:t>不</w:t>
      </w:r>
      <w:r>
        <w:rPr>
          <w:rFonts w:hint="eastAsia" w:ascii="宋体" w:hAnsi="宋体"/>
          <w:color w:val="auto"/>
          <w:szCs w:val="21"/>
        </w:rPr>
        <w:t>符合</w:t>
      </w:r>
      <w:r>
        <w:rPr>
          <w:rFonts w:hint="eastAsia" w:ascii="宋体" w:hAnsi="宋体"/>
          <w:bCs/>
          <w:color w:val="auto"/>
          <w:szCs w:val="21"/>
        </w:rPr>
        <w:t>法律、法规和招标文件中规定的其他实质性要求的。</w:t>
      </w:r>
    </w:p>
    <w:p>
      <w:pPr>
        <w:pStyle w:val="4"/>
        <w:numPr>
          <w:ilvl w:val="0"/>
          <w:numId w:val="6"/>
        </w:numPr>
        <w:adjustRightInd/>
        <w:spacing w:beforeLines="100" w:after="0" w:line="360" w:lineRule="exact"/>
        <w:textAlignment w:val="auto"/>
        <w:rPr>
          <w:rFonts w:ascii="宋体" w:hAnsi="宋体"/>
          <w:color w:val="auto"/>
          <w:sz w:val="24"/>
        </w:rPr>
      </w:pPr>
      <w:bookmarkStart w:id="152" w:name="_Toc193643714"/>
      <w:bookmarkStart w:id="153" w:name="_Toc261206977"/>
      <w:r>
        <w:rPr>
          <w:rFonts w:hint="eastAsia" w:ascii="宋体" w:hAnsi="宋体"/>
          <w:color w:val="auto"/>
          <w:sz w:val="24"/>
        </w:rPr>
        <w:tab/>
      </w:r>
      <w:bookmarkStart w:id="154" w:name="_Toc384934466"/>
      <w:r>
        <w:rPr>
          <w:rFonts w:hint="eastAsia" w:ascii="宋体" w:hAnsi="宋体"/>
          <w:color w:val="auto"/>
          <w:sz w:val="24"/>
        </w:rPr>
        <w:t>废标</w:t>
      </w:r>
      <w:bookmarkEnd w:id="152"/>
      <w:bookmarkEnd w:id="153"/>
      <w:bookmarkEnd w:id="154"/>
    </w:p>
    <w:p>
      <w:pPr>
        <w:numPr>
          <w:ilvl w:val="1"/>
          <w:numId w:val="50"/>
        </w:numPr>
        <w:spacing w:beforeLines="50"/>
        <w:rPr>
          <w:rFonts w:ascii="宋体" w:hAnsi="宋体"/>
          <w:color w:val="auto"/>
          <w:szCs w:val="21"/>
        </w:rPr>
      </w:pPr>
      <w:r>
        <w:rPr>
          <w:rFonts w:hint="eastAsia" w:ascii="宋体" w:hAnsi="宋体"/>
          <w:bCs/>
          <w:color w:val="auto"/>
          <w:szCs w:val="21"/>
        </w:rPr>
        <w:tab/>
      </w:r>
      <w:r>
        <w:rPr>
          <w:rFonts w:hint="eastAsia" w:ascii="宋体" w:hAnsi="宋体"/>
          <w:color w:val="auto"/>
          <w:szCs w:val="21"/>
        </w:rPr>
        <w:t>按照《中华人民共和国政府采购法》第三十六条规定，出现以下情况可对采购项目予以废标。废标后，招标人应当将废标理由通知所有投标人。</w:t>
      </w:r>
    </w:p>
    <w:p>
      <w:pPr>
        <w:numPr>
          <w:ilvl w:val="0"/>
          <w:numId w:val="51"/>
        </w:numPr>
        <w:snapToGrid w:val="0"/>
        <w:rPr>
          <w:rFonts w:ascii="宋体" w:hAnsi="宋体"/>
          <w:color w:val="auto"/>
          <w:szCs w:val="21"/>
        </w:rPr>
      </w:pPr>
      <w:r>
        <w:rPr>
          <w:rFonts w:hint="eastAsia" w:ascii="宋体" w:hAnsi="宋体"/>
          <w:color w:val="auto"/>
          <w:szCs w:val="21"/>
        </w:rPr>
        <w:t>公开招标符合专业条件的投标人或者对招标文件作实质响应的投标人不足三家的；</w:t>
      </w:r>
    </w:p>
    <w:p>
      <w:pPr>
        <w:numPr>
          <w:ilvl w:val="0"/>
          <w:numId w:val="51"/>
        </w:numPr>
        <w:snapToGrid w:val="0"/>
        <w:rPr>
          <w:rFonts w:ascii="宋体" w:hAnsi="宋体"/>
          <w:color w:val="auto"/>
          <w:szCs w:val="21"/>
        </w:rPr>
      </w:pPr>
      <w:r>
        <w:rPr>
          <w:rFonts w:hint="eastAsia" w:ascii="宋体" w:hAnsi="宋体"/>
          <w:color w:val="auto"/>
          <w:szCs w:val="21"/>
        </w:rPr>
        <w:t xml:space="preserve">出现影响采购公正的违法、违规行为的； </w:t>
      </w:r>
    </w:p>
    <w:p>
      <w:pPr>
        <w:numPr>
          <w:ilvl w:val="0"/>
          <w:numId w:val="51"/>
        </w:numPr>
        <w:snapToGrid w:val="0"/>
        <w:rPr>
          <w:rFonts w:ascii="宋体" w:hAnsi="宋体"/>
          <w:color w:val="auto"/>
          <w:szCs w:val="21"/>
        </w:rPr>
      </w:pPr>
      <w:r>
        <w:rPr>
          <w:rFonts w:hint="eastAsia" w:ascii="宋体" w:hAnsi="宋体"/>
          <w:color w:val="auto"/>
          <w:szCs w:val="21"/>
        </w:rPr>
        <w:t>投标人的报价均超过了采购预算，采购人不能支付的；</w:t>
      </w:r>
    </w:p>
    <w:p>
      <w:pPr>
        <w:numPr>
          <w:ilvl w:val="0"/>
          <w:numId w:val="51"/>
        </w:numPr>
        <w:snapToGrid w:val="0"/>
        <w:rPr>
          <w:rFonts w:ascii="宋体" w:hAnsi="宋体"/>
          <w:color w:val="auto"/>
          <w:szCs w:val="21"/>
        </w:rPr>
      </w:pPr>
      <w:r>
        <w:rPr>
          <w:rFonts w:hint="eastAsia" w:ascii="宋体" w:hAnsi="宋体"/>
          <w:color w:val="auto"/>
          <w:szCs w:val="21"/>
        </w:rPr>
        <w:t>因重大变故，采购任务取消的。</w:t>
      </w:r>
    </w:p>
    <w:p>
      <w:pPr>
        <w:numPr>
          <w:ilvl w:val="1"/>
          <w:numId w:val="50"/>
        </w:numPr>
        <w:spacing w:beforeLines="50"/>
        <w:rPr>
          <w:rFonts w:ascii="宋体" w:hAnsi="宋体"/>
          <w:color w:val="auto"/>
          <w:szCs w:val="21"/>
        </w:rPr>
      </w:pPr>
      <w:r>
        <w:rPr>
          <w:rFonts w:hint="eastAsia" w:ascii="宋体" w:hAnsi="宋体"/>
          <w:bCs/>
          <w:color w:val="auto"/>
          <w:szCs w:val="21"/>
        </w:rPr>
        <w:tab/>
      </w:r>
      <w:r>
        <w:rPr>
          <w:rFonts w:hint="eastAsia" w:ascii="宋体" w:hAnsi="宋体"/>
          <w:color w:val="auto"/>
          <w:szCs w:val="21"/>
        </w:rPr>
        <w:t>废标后，除采购任务取消情形外，按照《中华人民共和国政府采购法》第三十七条规定，重新组织招标。</w:t>
      </w:r>
    </w:p>
    <w:p>
      <w:pPr>
        <w:pStyle w:val="4"/>
        <w:numPr>
          <w:ilvl w:val="0"/>
          <w:numId w:val="6"/>
        </w:numPr>
        <w:adjustRightInd/>
        <w:spacing w:beforeLines="100" w:after="0" w:line="240" w:lineRule="auto"/>
        <w:textAlignment w:val="auto"/>
        <w:rPr>
          <w:rFonts w:ascii="宋体" w:hAnsi="宋体"/>
          <w:color w:val="auto"/>
          <w:sz w:val="24"/>
        </w:rPr>
      </w:pPr>
      <w:bookmarkStart w:id="155" w:name="_Toc193643715"/>
      <w:bookmarkStart w:id="156" w:name="_Toc103569387"/>
      <w:bookmarkStart w:id="157" w:name="_Toc261206978"/>
      <w:bookmarkStart w:id="158" w:name="_Toc134155432"/>
      <w:r>
        <w:rPr>
          <w:rFonts w:hint="eastAsia" w:ascii="宋体" w:hAnsi="宋体"/>
          <w:color w:val="auto"/>
          <w:sz w:val="24"/>
        </w:rPr>
        <w:tab/>
      </w:r>
      <w:bookmarkStart w:id="159" w:name="_Toc384934467"/>
      <w:r>
        <w:rPr>
          <w:rFonts w:hint="eastAsia" w:ascii="宋体" w:hAnsi="宋体"/>
          <w:color w:val="auto"/>
          <w:sz w:val="24"/>
        </w:rPr>
        <w:t>评标方法</w:t>
      </w:r>
      <w:bookmarkEnd w:id="155"/>
      <w:bookmarkEnd w:id="156"/>
      <w:bookmarkEnd w:id="157"/>
      <w:bookmarkEnd w:id="158"/>
      <w:bookmarkEnd w:id="159"/>
    </w:p>
    <w:p>
      <w:pPr>
        <w:tabs>
          <w:tab w:val="left" w:pos="0"/>
        </w:tabs>
        <w:adjustRightInd w:val="0"/>
        <w:snapToGrid w:val="0"/>
        <w:ind w:firstLine="420" w:firstLineChars="200"/>
        <w:rPr>
          <w:rFonts w:ascii="宋体" w:hAnsi="宋体"/>
          <w:color w:val="auto"/>
          <w:szCs w:val="21"/>
        </w:rPr>
        <w:sectPr>
          <w:headerReference r:id="rId9" w:type="default"/>
          <w:pgSz w:w="11906" w:h="16838"/>
          <w:pgMar w:top="907" w:right="1588" w:bottom="1219" w:left="1588" w:header="567" w:footer="454" w:gutter="0"/>
          <w:paperSrc w:first="1" w:other="1"/>
          <w:cols w:space="720" w:num="1"/>
          <w:docGrid w:linePitch="312" w:charSpace="0"/>
        </w:sectPr>
      </w:pPr>
      <w:bookmarkStart w:id="160" w:name="_Toc103569389"/>
      <w:bookmarkStart w:id="161" w:name="_Toc261206979"/>
      <w:bookmarkStart w:id="162" w:name="_Toc193643716"/>
      <w:bookmarkStart w:id="163" w:name="_Toc134155434"/>
      <w:r>
        <w:rPr>
          <w:rFonts w:hint="eastAsia" w:ascii="宋体" w:hAnsi="宋体"/>
          <w:color w:val="auto"/>
          <w:szCs w:val="21"/>
        </w:rPr>
        <w:t>30.1</w:t>
      </w:r>
      <w:r>
        <w:rPr>
          <w:rFonts w:hint="eastAsia" w:ascii="宋体" w:hAnsi="宋体"/>
          <w:color w:val="auto"/>
          <w:szCs w:val="21"/>
        </w:rPr>
        <w:tab/>
      </w:r>
      <w:r>
        <w:rPr>
          <w:rFonts w:hint="eastAsia" w:ascii="宋体" w:hAnsi="宋体"/>
          <w:color w:val="auto"/>
          <w:szCs w:val="21"/>
        </w:rPr>
        <w:t>本项目评标方法：综合评分法（见下表），即投标文件满足招标文件全部实质性要求且经评审投标得分最高的投标人为中标候选人的评标方法。</w:t>
      </w:r>
    </w:p>
    <w:p>
      <w:pPr>
        <w:pStyle w:val="2"/>
        <w:spacing w:line="240" w:lineRule="auto"/>
        <w:jc w:val="center"/>
        <w:rPr>
          <w:rFonts w:ascii="仿宋_GB2312" w:eastAsia="仿宋_GB2312"/>
          <w:color w:val="auto"/>
          <w:sz w:val="30"/>
          <w:szCs w:val="30"/>
        </w:rPr>
      </w:pPr>
      <w:r>
        <w:rPr>
          <w:rFonts w:hint="eastAsia"/>
          <w:color w:val="auto"/>
          <w:sz w:val="32"/>
          <w:szCs w:val="32"/>
        </w:rPr>
        <w:t xml:space="preserve">评分标准 </w:t>
      </w:r>
      <w:r>
        <w:rPr>
          <w:rFonts w:hint="eastAsia"/>
          <w:color w:val="auto"/>
        </w:rPr>
        <w:t xml:space="preserve">                </w:t>
      </w:r>
      <w:r>
        <w:rPr>
          <w:rFonts w:hint="eastAsia" w:ascii="仿宋_GB2312" w:eastAsia="仿宋_GB2312"/>
          <w:color w:val="auto"/>
          <w:sz w:val="30"/>
          <w:szCs w:val="30"/>
        </w:rPr>
        <w:t xml:space="preserve">       </w:t>
      </w:r>
    </w:p>
    <w:p>
      <w:pPr>
        <w:pStyle w:val="2"/>
        <w:spacing w:line="240" w:lineRule="auto"/>
        <w:jc w:val="right"/>
        <w:rPr>
          <w:rFonts w:ascii="仿宋_GB2312" w:eastAsia="仿宋_GB2312"/>
          <w:color w:val="auto"/>
          <w:sz w:val="30"/>
          <w:szCs w:val="30"/>
        </w:rPr>
      </w:pPr>
      <w:r>
        <w:rPr>
          <w:rFonts w:hint="eastAsia" w:ascii="仿宋_GB2312" w:eastAsia="仿宋_GB2312"/>
          <w:color w:val="auto"/>
          <w:sz w:val="30"/>
          <w:szCs w:val="30"/>
        </w:rPr>
        <w:t>总分：100分</w:t>
      </w:r>
    </w:p>
    <w:p>
      <w:pPr>
        <w:rPr>
          <w:color w:val="auto"/>
        </w:rPr>
      </w:pPr>
    </w:p>
    <w:tbl>
      <w:tblPr>
        <w:tblStyle w:val="47"/>
        <w:tblW w:w="997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1323"/>
        <w:gridCol w:w="516"/>
        <w:gridCol w:w="2160"/>
        <w:gridCol w:w="45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4" w:hRule="atLeast"/>
          <w:jc w:val="center"/>
        </w:trPr>
        <w:tc>
          <w:tcPr>
            <w:tcW w:w="1414" w:type="dxa"/>
            <w:vAlign w:val="center"/>
          </w:tcPr>
          <w:p>
            <w:pPr>
              <w:jc w:val="center"/>
              <w:rPr>
                <w:color w:val="auto"/>
              </w:rPr>
            </w:pPr>
            <w:r>
              <w:rPr>
                <w:rFonts w:hint="eastAsia"/>
                <w:color w:val="auto"/>
              </w:rPr>
              <w:t>分项</w:t>
            </w:r>
          </w:p>
        </w:tc>
        <w:tc>
          <w:tcPr>
            <w:tcW w:w="1323" w:type="dxa"/>
            <w:vAlign w:val="center"/>
          </w:tcPr>
          <w:p>
            <w:pPr>
              <w:jc w:val="center"/>
              <w:rPr>
                <w:color w:val="auto"/>
              </w:rPr>
            </w:pPr>
            <w:r>
              <w:rPr>
                <w:rFonts w:hint="eastAsia"/>
                <w:color w:val="auto"/>
              </w:rPr>
              <w:t>评分因素</w:t>
            </w:r>
          </w:p>
        </w:tc>
        <w:tc>
          <w:tcPr>
            <w:tcW w:w="516" w:type="dxa"/>
            <w:vAlign w:val="center"/>
          </w:tcPr>
          <w:p>
            <w:pPr>
              <w:jc w:val="center"/>
              <w:rPr>
                <w:color w:val="auto"/>
              </w:rPr>
            </w:pPr>
            <w:r>
              <w:rPr>
                <w:rFonts w:hint="eastAsia"/>
                <w:color w:val="auto"/>
              </w:rPr>
              <w:t>分数</w:t>
            </w:r>
          </w:p>
        </w:tc>
        <w:tc>
          <w:tcPr>
            <w:tcW w:w="6717" w:type="dxa"/>
            <w:gridSpan w:val="2"/>
            <w:vAlign w:val="center"/>
          </w:tcPr>
          <w:p>
            <w:pPr>
              <w:jc w:val="center"/>
              <w:rPr>
                <w:color w:val="auto"/>
              </w:rPr>
            </w:pPr>
            <w:r>
              <w:rPr>
                <w:rFonts w:hint="eastAsia"/>
                <w:color w:val="auto"/>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31" w:hRule="atLeast"/>
          <w:jc w:val="center"/>
        </w:trPr>
        <w:tc>
          <w:tcPr>
            <w:tcW w:w="1414" w:type="dxa"/>
            <w:vAlign w:val="center"/>
          </w:tcPr>
          <w:p>
            <w:pPr>
              <w:jc w:val="center"/>
              <w:rPr>
                <w:color w:val="auto"/>
              </w:rPr>
            </w:pPr>
            <w:r>
              <w:rPr>
                <w:rFonts w:hint="eastAsia"/>
                <w:color w:val="auto"/>
              </w:rPr>
              <w:t>价格</w:t>
            </w:r>
          </w:p>
          <w:p>
            <w:pPr>
              <w:jc w:val="center"/>
              <w:rPr>
                <w:color w:val="auto"/>
              </w:rPr>
            </w:pPr>
            <w:r>
              <w:rPr>
                <w:rFonts w:hint="eastAsia"/>
                <w:color w:val="auto"/>
              </w:rPr>
              <w:t>（</w:t>
            </w:r>
            <w:r>
              <w:rPr>
                <w:color w:val="auto"/>
              </w:rPr>
              <w:t>30</w:t>
            </w:r>
            <w:r>
              <w:rPr>
                <w:rFonts w:hint="eastAsia"/>
                <w:color w:val="auto"/>
              </w:rPr>
              <w:t>分）</w:t>
            </w:r>
          </w:p>
        </w:tc>
        <w:tc>
          <w:tcPr>
            <w:tcW w:w="1323" w:type="dxa"/>
            <w:vAlign w:val="center"/>
          </w:tcPr>
          <w:p>
            <w:pPr>
              <w:jc w:val="center"/>
              <w:rPr>
                <w:color w:val="auto"/>
              </w:rPr>
            </w:pPr>
            <w:r>
              <w:rPr>
                <w:rFonts w:hint="eastAsia"/>
                <w:color w:val="auto"/>
              </w:rPr>
              <w:t>投标报价</w:t>
            </w:r>
          </w:p>
        </w:tc>
        <w:tc>
          <w:tcPr>
            <w:tcW w:w="516" w:type="dxa"/>
            <w:vAlign w:val="center"/>
          </w:tcPr>
          <w:p>
            <w:pPr>
              <w:jc w:val="center"/>
              <w:rPr>
                <w:color w:val="auto"/>
              </w:rPr>
            </w:pPr>
            <w:r>
              <w:rPr>
                <w:color w:val="auto"/>
              </w:rPr>
              <w:t>30</w:t>
            </w:r>
          </w:p>
        </w:tc>
        <w:tc>
          <w:tcPr>
            <w:tcW w:w="6717" w:type="dxa"/>
            <w:gridSpan w:val="2"/>
            <w:vAlign w:val="center"/>
          </w:tcPr>
          <w:p>
            <w:pPr>
              <w:jc w:val="left"/>
              <w:rPr>
                <w:color w:val="auto"/>
                <w:sz w:val="24"/>
              </w:rPr>
            </w:pPr>
            <w:r>
              <w:rPr>
                <w:rFonts w:hint="eastAsia"/>
                <w:color w:val="auto"/>
                <w:sz w:val="24"/>
              </w:rPr>
              <w:t>有效的投标报价中的最低价为评标基准价，按照下列公式计算每个供应商的投标价格得分。</w:t>
            </w:r>
          </w:p>
          <w:p>
            <w:pPr>
              <w:jc w:val="left"/>
              <w:rPr>
                <w:color w:val="auto"/>
                <w:sz w:val="24"/>
              </w:rPr>
            </w:pPr>
            <w:r>
              <w:rPr>
                <w:rFonts w:hint="eastAsia"/>
                <w:color w:val="auto"/>
                <w:sz w:val="24"/>
              </w:rPr>
              <w:t>投标报价得分＝（评标基准价</w:t>
            </w:r>
            <w:r>
              <w:rPr>
                <w:b/>
                <w:bCs/>
                <w:color w:val="auto"/>
                <w:sz w:val="24"/>
              </w:rPr>
              <w:t>/</w:t>
            </w:r>
            <w:r>
              <w:rPr>
                <w:rFonts w:hint="eastAsia"/>
                <w:color w:val="auto"/>
                <w:sz w:val="24"/>
              </w:rPr>
              <w:t>投标报价）×</w:t>
            </w:r>
            <w:r>
              <w:rPr>
                <w:color w:val="auto"/>
                <w:sz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65" w:hRule="atLeast"/>
          <w:jc w:val="center"/>
        </w:trPr>
        <w:tc>
          <w:tcPr>
            <w:tcW w:w="1414" w:type="dxa"/>
            <w:vAlign w:val="center"/>
          </w:tcPr>
          <w:p>
            <w:pPr>
              <w:jc w:val="center"/>
              <w:rPr>
                <w:color w:val="auto"/>
              </w:rPr>
            </w:pPr>
            <w:r>
              <w:rPr>
                <w:rFonts w:hint="eastAsia"/>
                <w:color w:val="auto"/>
              </w:rPr>
              <w:t>技术部分</w:t>
            </w:r>
          </w:p>
          <w:p>
            <w:pPr>
              <w:jc w:val="center"/>
              <w:rPr>
                <w:color w:val="auto"/>
              </w:rPr>
            </w:pPr>
            <w:r>
              <w:rPr>
                <w:rFonts w:hint="eastAsia"/>
                <w:color w:val="auto"/>
              </w:rPr>
              <w:t>（</w:t>
            </w:r>
            <w:r>
              <w:rPr>
                <w:color w:val="auto"/>
              </w:rPr>
              <w:t>30</w:t>
            </w:r>
            <w:r>
              <w:rPr>
                <w:rFonts w:hint="eastAsia"/>
                <w:color w:val="auto"/>
              </w:rPr>
              <w:t>分）</w:t>
            </w:r>
          </w:p>
        </w:tc>
        <w:tc>
          <w:tcPr>
            <w:tcW w:w="1323" w:type="dxa"/>
            <w:vAlign w:val="center"/>
          </w:tcPr>
          <w:p>
            <w:pPr>
              <w:jc w:val="center"/>
              <w:rPr>
                <w:color w:val="auto"/>
              </w:rPr>
            </w:pPr>
            <w:r>
              <w:rPr>
                <w:rFonts w:hint="eastAsia"/>
                <w:color w:val="auto"/>
              </w:rPr>
              <w:t>产品技术及参数要求</w:t>
            </w:r>
          </w:p>
        </w:tc>
        <w:tc>
          <w:tcPr>
            <w:tcW w:w="516" w:type="dxa"/>
            <w:vAlign w:val="center"/>
          </w:tcPr>
          <w:p>
            <w:pPr>
              <w:jc w:val="center"/>
              <w:rPr>
                <w:color w:val="auto"/>
              </w:rPr>
            </w:pPr>
            <w:r>
              <w:rPr>
                <w:color w:val="auto"/>
              </w:rPr>
              <w:t>30</w:t>
            </w:r>
          </w:p>
        </w:tc>
        <w:tc>
          <w:tcPr>
            <w:tcW w:w="2160" w:type="dxa"/>
            <w:vAlign w:val="center"/>
          </w:tcPr>
          <w:p>
            <w:pPr>
              <w:jc w:val="left"/>
              <w:rPr>
                <w:color w:val="auto"/>
                <w:kern w:val="0"/>
                <w:sz w:val="24"/>
              </w:rPr>
            </w:pPr>
            <w:r>
              <w:rPr>
                <w:rFonts w:hint="eastAsia"/>
                <w:color w:val="auto"/>
                <w:kern w:val="0"/>
                <w:sz w:val="24"/>
              </w:rPr>
              <w:t>技术参数响应程度</w:t>
            </w:r>
          </w:p>
        </w:tc>
        <w:tc>
          <w:tcPr>
            <w:tcW w:w="4557" w:type="dxa"/>
            <w:tcBorders>
              <w:bottom w:val="nil"/>
            </w:tcBorders>
            <w:vAlign w:val="center"/>
          </w:tcPr>
          <w:p>
            <w:pPr>
              <w:jc w:val="left"/>
              <w:rPr>
                <w:color w:val="auto"/>
                <w:sz w:val="24"/>
              </w:rPr>
            </w:pPr>
            <w:r>
              <w:rPr>
                <w:color w:val="auto"/>
                <w:sz w:val="24"/>
              </w:rPr>
              <w:t>1.</w:t>
            </w:r>
            <w:r>
              <w:rPr>
                <w:rFonts w:hint="eastAsia"/>
                <w:color w:val="auto"/>
                <w:sz w:val="24"/>
              </w:rPr>
              <w:t>满足或优于采购要求的得</w:t>
            </w:r>
            <w:r>
              <w:rPr>
                <w:color w:val="auto"/>
                <w:sz w:val="24"/>
              </w:rPr>
              <w:t>30</w:t>
            </w:r>
            <w:r>
              <w:rPr>
                <w:rFonts w:hint="eastAsia"/>
                <w:color w:val="auto"/>
                <w:sz w:val="24"/>
              </w:rPr>
              <w:t>分；</w:t>
            </w:r>
          </w:p>
          <w:p>
            <w:pPr>
              <w:jc w:val="left"/>
              <w:rPr>
                <w:color w:val="auto"/>
                <w:sz w:val="24"/>
              </w:rPr>
            </w:pPr>
            <w:r>
              <w:rPr>
                <w:color w:val="auto"/>
                <w:sz w:val="24"/>
              </w:rPr>
              <w:t xml:space="preserve">2. </w:t>
            </w:r>
            <w:r>
              <w:rPr>
                <w:rFonts w:hint="eastAsia"/>
                <w:color w:val="auto"/>
                <w:sz w:val="24"/>
              </w:rPr>
              <w:t>非★技术条款有</w:t>
            </w:r>
            <w:r>
              <w:rPr>
                <w:color w:val="auto"/>
                <w:sz w:val="24"/>
              </w:rPr>
              <w:t>1</w:t>
            </w:r>
            <w:r>
              <w:rPr>
                <w:rFonts w:hint="eastAsia"/>
                <w:color w:val="auto"/>
                <w:sz w:val="24"/>
              </w:rPr>
              <w:t>条不满足，扣3分；两条不满足扣6分；以此类推，但超过六条（含六条）不满足，技术部分得零分；</w:t>
            </w:r>
          </w:p>
          <w:p>
            <w:pPr>
              <w:jc w:val="left"/>
              <w:rPr>
                <w:color w:val="auto"/>
                <w:sz w:val="24"/>
              </w:rPr>
            </w:pPr>
            <w:r>
              <w:rPr>
                <w:color w:val="auto"/>
                <w:sz w:val="24"/>
              </w:rPr>
              <w:t xml:space="preserve">3. </w:t>
            </w:r>
            <w:r>
              <w:rPr>
                <w:rFonts w:hint="eastAsia"/>
                <w:color w:val="auto"/>
                <w:sz w:val="24"/>
              </w:rPr>
              <w:t>★的技术条款有</w:t>
            </w:r>
            <w:r>
              <w:rPr>
                <w:color w:val="auto"/>
                <w:sz w:val="24"/>
              </w:rPr>
              <w:t>1</w:t>
            </w:r>
            <w:r>
              <w:rPr>
                <w:rFonts w:hint="eastAsia"/>
                <w:color w:val="auto"/>
                <w:sz w:val="24"/>
              </w:rPr>
              <w:t>条不满足，技术部分得零分；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45" w:hRule="atLeast"/>
          <w:jc w:val="center"/>
        </w:trPr>
        <w:tc>
          <w:tcPr>
            <w:tcW w:w="1414" w:type="dxa"/>
            <w:vMerge w:val="restart"/>
            <w:textDirection w:val="tbRlV"/>
            <w:vAlign w:val="center"/>
          </w:tcPr>
          <w:p>
            <w:pPr>
              <w:jc w:val="center"/>
              <w:rPr>
                <w:color w:val="auto"/>
              </w:rPr>
            </w:pPr>
            <w:r>
              <w:rPr>
                <w:rFonts w:hint="eastAsia"/>
                <w:color w:val="auto"/>
              </w:rPr>
              <w:t>商务部分（</w:t>
            </w:r>
            <w:r>
              <w:rPr>
                <w:color w:val="auto"/>
              </w:rPr>
              <w:t>40</w:t>
            </w:r>
            <w:r>
              <w:rPr>
                <w:rFonts w:hint="eastAsia"/>
                <w:color w:val="auto"/>
              </w:rPr>
              <w:t>分）</w:t>
            </w:r>
          </w:p>
        </w:tc>
        <w:tc>
          <w:tcPr>
            <w:tcW w:w="1323" w:type="dxa"/>
            <w:vAlign w:val="center"/>
          </w:tcPr>
          <w:p>
            <w:pPr>
              <w:jc w:val="center"/>
              <w:rPr>
                <w:color w:val="auto"/>
              </w:rPr>
            </w:pPr>
            <w:r>
              <w:rPr>
                <w:rFonts w:hint="eastAsia"/>
                <w:color w:val="auto"/>
              </w:rPr>
              <w:t>业绩</w:t>
            </w:r>
          </w:p>
        </w:tc>
        <w:tc>
          <w:tcPr>
            <w:tcW w:w="516" w:type="dxa"/>
            <w:vAlign w:val="center"/>
          </w:tcPr>
          <w:p>
            <w:pPr>
              <w:jc w:val="center"/>
              <w:rPr>
                <w:color w:val="auto"/>
              </w:rPr>
            </w:pPr>
            <w:r>
              <w:rPr>
                <w:color w:val="auto"/>
              </w:rPr>
              <w:t>20</w:t>
            </w:r>
          </w:p>
        </w:tc>
        <w:tc>
          <w:tcPr>
            <w:tcW w:w="6717" w:type="dxa"/>
            <w:gridSpan w:val="2"/>
            <w:vAlign w:val="center"/>
          </w:tcPr>
          <w:p>
            <w:pPr>
              <w:jc w:val="left"/>
              <w:rPr>
                <w:color w:val="auto"/>
                <w:sz w:val="24"/>
              </w:rPr>
            </w:pPr>
            <w:r>
              <w:rPr>
                <w:rFonts w:hint="eastAsia" w:cs="宋体"/>
                <w:color w:val="auto"/>
                <w:kern w:val="0"/>
                <w:sz w:val="24"/>
              </w:rPr>
              <w:t>提供2017年1月1日以来</w:t>
            </w:r>
            <w:r>
              <w:rPr>
                <w:rFonts w:hint="eastAsia"/>
                <w:color w:val="auto"/>
                <w:sz w:val="24"/>
              </w:rPr>
              <w:t>实验室废弃物暂存柜供应商</w:t>
            </w:r>
            <w:r>
              <w:rPr>
                <w:rFonts w:hint="eastAsia" w:cs="宋体"/>
                <w:color w:val="auto"/>
                <w:kern w:val="0"/>
                <w:sz w:val="24"/>
              </w:rPr>
              <w:t>与用户单位</w:t>
            </w:r>
            <w:r>
              <w:rPr>
                <w:rFonts w:hint="eastAsia"/>
                <w:color w:val="auto"/>
                <w:sz w:val="24"/>
              </w:rPr>
              <w:t>签定的</w:t>
            </w:r>
            <w:r>
              <w:rPr>
                <w:rFonts w:hint="eastAsia" w:cs="宋体"/>
                <w:color w:val="auto"/>
                <w:kern w:val="0"/>
                <w:sz w:val="24"/>
              </w:rPr>
              <w:t>同类产品合同总金额大于</w:t>
            </w:r>
            <w:r>
              <w:rPr>
                <w:rFonts w:cs="宋体"/>
                <w:color w:val="auto"/>
                <w:kern w:val="0"/>
                <w:sz w:val="24"/>
              </w:rPr>
              <w:t>50</w:t>
            </w:r>
            <w:r>
              <w:rPr>
                <w:rFonts w:hint="eastAsia" w:cs="宋体"/>
                <w:color w:val="auto"/>
                <w:kern w:val="0"/>
                <w:sz w:val="24"/>
              </w:rPr>
              <w:t>万元（含50万元）的合同复印件（加盖公章）；或</w:t>
            </w:r>
            <w:r>
              <w:rPr>
                <w:rFonts w:hint="eastAsia"/>
                <w:color w:val="auto"/>
                <w:sz w:val="24"/>
              </w:rPr>
              <w:t>提供</w:t>
            </w:r>
            <w:r>
              <w:rPr>
                <w:rFonts w:hint="eastAsia" w:cs="宋体"/>
                <w:color w:val="auto"/>
                <w:kern w:val="0"/>
                <w:sz w:val="24"/>
              </w:rPr>
              <w:t>实验室废弃物暂存柜</w:t>
            </w:r>
            <w:r>
              <w:rPr>
                <w:rFonts w:hint="eastAsia"/>
                <w:color w:val="auto"/>
                <w:sz w:val="24"/>
              </w:rPr>
              <w:t>供应商与</w:t>
            </w:r>
            <w:r>
              <w:rPr>
                <w:rFonts w:hint="eastAsia" w:cs="宋体"/>
                <w:color w:val="auto"/>
                <w:sz w:val="24"/>
              </w:rPr>
              <w:t>用户单位</w:t>
            </w:r>
            <w:r>
              <w:rPr>
                <w:rFonts w:hint="eastAsia"/>
                <w:color w:val="auto"/>
                <w:sz w:val="24"/>
              </w:rPr>
              <w:t>直接签定的</w:t>
            </w:r>
            <w:r>
              <w:rPr>
                <w:rFonts w:hint="eastAsia" w:cs="宋体"/>
                <w:color w:val="auto"/>
                <w:kern w:val="0"/>
                <w:sz w:val="24"/>
              </w:rPr>
              <w:t>废弃物（含废气、废液和废物）</w:t>
            </w:r>
            <w:r>
              <w:rPr>
                <w:rFonts w:hint="eastAsia"/>
                <w:color w:val="auto"/>
                <w:sz w:val="24"/>
              </w:rPr>
              <w:t>处理案例金额大于</w:t>
            </w:r>
            <w:r>
              <w:rPr>
                <w:color w:val="auto"/>
                <w:sz w:val="24"/>
              </w:rPr>
              <w:t>50</w:t>
            </w:r>
            <w:r>
              <w:rPr>
                <w:rFonts w:hint="eastAsia"/>
                <w:color w:val="auto"/>
                <w:sz w:val="24"/>
              </w:rPr>
              <w:t>万的合同复印件</w:t>
            </w:r>
            <w:r>
              <w:rPr>
                <w:rFonts w:hint="eastAsia" w:cs="宋体"/>
                <w:color w:val="auto"/>
                <w:kern w:val="0"/>
                <w:sz w:val="24"/>
              </w:rPr>
              <w:t>（加盖公章）；</w:t>
            </w:r>
            <w:r>
              <w:rPr>
                <w:rFonts w:cs="宋体"/>
                <w:color w:val="auto"/>
                <w:kern w:val="0"/>
                <w:sz w:val="24"/>
              </w:rPr>
              <w:t xml:space="preserve"> </w:t>
            </w:r>
            <w:r>
              <w:rPr>
                <w:rFonts w:hint="eastAsia"/>
                <w:color w:val="auto"/>
                <w:sz w:val="24"/>
              </w:rPr>
              <w:t>每提供</w:t>
            </w:r>
            <w:r>
              <w:rPr>
                <w:color w:val="auto"/>
                <w:sz w:val="24"/>
              </w:rPr>
              <w:t>1</w:t>
            </w:r>
            <w:r>
              <w:rPr>
                <w:rFonts w:hint="eastAsia"/>
                <w:color w:val="auto"/>
                <w:sz w:val="24"/>
              </w:rPr>
              <w:t>个合同得</w:t>
            </w:r>
            <w:r>
              <w:rPr>
                <w:color w:val="auto"/>
                <w:sz w:val="24"/>
              </w:rPr>
              <w:t>5</w:t>
            </w:r>
            <w:r>
              <w:rPr>
                <w:rFonts w:hint="eastAsia"/>
                <w:color w:val="auto"/>
                <w:sz w:val="24"/>
              </w:rPr>
              <w:t>分，总分</w:t>
            </w:r>
            <w:r>
              <w:rPr>
                <w:color w:val="auto"/>
                <w:sz w:val="24"/>
              </w:rPr>
              <w:t>20</w:t>
            </w:r>
            <w:r>
              <w:rPr>
                <w:rFonts w:hint="eastAsia"/>
                <w:color w:val="auto"/>
                <w:sz w:val="24"/>
              </w:rPr>
              <w:t>分。复印件材料无公章者不得分。原件备查。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85" w:hRule="atLeast"/>
          <w:jc w:val="center"/>
        </w:trPr>
        <w:tc>
          <w:tcPr>
            <w:tcW w:w="1414" w:type="dxa"/>
            <w:vMerge w:val="continue"/>
            <w:vAlign w:val="center"/>
          </w:tcPr>
          <w:p>
            <w:pPr>
              <w:widowControl/>
              <w:jc w:val="left"/>
              <w:rPr>
                <w:color w:val="auto"/>
              </w:rPr>
            </w:pPr>
          </w:p>
        </w:tc>
        <w:tc>
          <w:tcPr>
            <w:tcW w:w="1323" w:type="dxa"/>
            <w:vAlign w:val="center"/>
          </w:tcPr>
          <w:p>
            <w:pPr>
              <w:jc w:val="center"/>
              <w:rPr>
                <w:color w:val="auto"/>
              </w:rPr>
            </w:pPr>
            <w:r>
              <w:rPr>
                <w:rFonts w:hint="eastAsia"/>
                <w:color w:val="auto"/>
              </w:rPr>
              <w:t>供应商综合实力、资质和信誉</w:t>
            </w:r>
          </w:p>
        </w:tc>
        <w:tc>
          <w:tcPr>
            <w:tcW w:w="516" w:type="dxa"/>
            <w:vAlign w:val="center"/>
          </w:tcPr>
          <w:p>
            <w:pPr>
              <w:jc w:val="center"/>
              <w:rPr>
                <w:color w:val="auto"/>
              </w:rPr>
            </w:pPr>
            <w:r>
              <w:rPr>
                <w:color w:val="auto"/>
              </w:rPr>
              <w:t>1</w:t>
            </w:r>
            <w:r>
              <w:rPr>
                <w:rFonts w:hint="eastAsia"/>
                <w:color w:val="auto"/>
              </w:rPr>
              <w:t>2</w:t>
            </w:r>
          </w:p>
        </w:tc>
        <w:tc>
          <w:tcPr>
            <w:tcW w:w="6717" w:type="dxa"/>
            <w:gridSpan w:val="2"/>
            <w:vAlign w:val="center"/>
          </w:tcPr>
          <w:p>
            <w:pPr>
              <w:jc w:val="left"/>
              <w:rPr>
                <w:rFonts w:cs="宋体"/>
                <w:color w:val="auto"/>
                <w:sz w:val="24"/>
              </w:rPr>
            </w:pPr>
            <w:r>
              <w:rPr>
                <w:rFonts w:hint="eastAsia" w:cs="宋体"/>
                <w:color w:val="auto"/>
                <w:sz w:val="24"/>
              </w:rPr>
              <w:t>具备国家级高新技术企业证书得</w:t>
            </w:r>
            <w:r>
              <w:rPr>
                <w:rFonts w:cs="宋体"/>
                <w:color w:val="auto"/>
                <w:sz w:val="24"/>
              </w:rPr>
              <w:t>3</w:t>
            </w:r>
            <w:r>
              <w:rPr>
                <w:rFonts w:hint="eastAsia" w:cs="宋体"/>
                <w:color w:val="auto"/>
                <w:sz w:val="24"/>
              </w:rPr>
              <w:t>分；</w:t>
            </w:r>
          </w:p>
          <w:p>
            <w:pPr>
              <w:jc w:val="left"/>
              <w:rPr>
                <w:rFonts w:cs="宋体"/>
                <w:color w:val="auto"/>
                <w:sz w:val="24"/>
              </w:rPr>
            </w:pPr>
            <w:r>
              <w:rPr>
                <w:rFonts w:hint="eastAsia" w:cs="宋体"/>
                <w:color w:val="auto"/>
                <w:sz w:val="24"/>
              </w:rPr>
              <w:t>获得有废气净化处理光催化氧化材料发明专利证书或者其他废气净化处理技术相关发明专利证书得</w:t>
            </w:r>
            <w:r>
              <w:rPr>
                <w:rFonts w:cs="宋体"/>
                <w:color w:val="auto"/>
                <w:sz w:val="24"/>
              </w:rPr>
              <w:t>3</w:t>
            </w:r>
            <w:r>
              <w:rPr>
                <w:rFonts w:hint="eastAsia" w:cs="宋体"/>
                <w:color w:val="auto"/>
                <w:sz w:val="24"/>
              </w:rPr>
              <w:t>分；</w:t>
            </w:r>
          </w:p>
          <w:p>
            <w:pPr>
              <w:jc w:val="left"/>
              <w:rPr>
                <w:rFonts w:cs="宋体"/>
                <w:color w:val="auto"/>
                <w:sz w:val="24"/>
              </w:rPr>
            </w:pPr>
            <w:r>
              <w:rPr>
                <w:rFonts w:hint="eastAsia" w:cs="宋体"/>
                <w:color w:val="auto"/>
                <w:sz w:val="24"/>
              </w:rPr>
              <w:t>具备环境工程设计证书得3分；</w:t>
            </w:r>
          </w:p>
          <w:p>
            <w:pPr>
              <w:jc w:val="left"/>
              <w:rPr>
                <w:rFonts w:cs="宋体"/>
                <w:color w:val="auto"/>
                <w:sz w:val="24"/>
              </w:rPr>
            </w:pPr>
            <w:r>
              <w:rPr>
                <w:rFonts w:hint="eastAsia" w:cs="宋体"/>
                <w:color w:val="auto"/>
                <w:sz w:val="24"/>
              </w:rPr>
              <w:t>中国环保节能产品证书</w:t>
            </w:r>
            <w:r>
              <w:rPr>
                <w:rFonts w:cs="宋体"/>
                <w:color w:val="auto"/>
                <w:sz w:val="24"/>
              </w:rPr>
              <w:t xml:space="preserve"> </w:t>
            </w:r>
            <w:r>
              <w:rPr>
                <w:rFonts w:hint="eastAsia" w:cs="宋体"/>
                <w:color w:val="auto"/>
                <w:sz w:val="24"/>
              </w:rPr>
              <w:t>得3分</w:t>
            </w:r>
          </w:p>
          <w:p>
            <w:pPr>
              <w:jc w:val="left"/>
              <w:rPr>
                <w:rFonts w:cs="宋体"/>
                <w:color w:val="auto"/>
                <w:sz w:val="24"/>
              </w:rPr>
            </w:pPr>
            <w:r>
              <w:rPr>
                <w:rFonts w:hint="eastAsia" w:cs="宋体"/>
                <w:color w:val="auto"/>
                <w:sz w:val="24"/>
              </w:rPr>
              <w:t>上述材料需在投标文件中提供复印件</w:t>
            </w:r>
            <w:r>
              <w:rPr>
                <w:rFonts w:hint="eastAsia" w:cs="宋体"/>
                <w:color w:val="auto"/>
                <w:kern w:val="0"/>
                <w:sz w:val="24"/>
              </w:rPr>
              <w:t>（加盖公章）</w:t>
            </w:r>
            <w:r>
              <w:rPr>
                <w:rFonts w:hint="eastAsia" w:cs="宋体"/>
                <w:color w:val="auto"/>
                <w:sz w:val="24"/>
              </w:rPr>
              <w:t>，原件备查。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86" w:hRule="atLeast"/>
          <w:jc w:val="center"/>
        </w:trPr>
        <w:tc>
          <w:tcPr>
            <w:tcW w:w="1414" w:type="dxa"/>
            <w:vMerge w:val="continue"/>
            <w:vAlign w:val="center"/>
          </w:tcPr>
          <w:p>
            <w:pPr>
              <w:widowControl/>
              <w:jc w:val="left"/>
              <w:rPr>
                <w:color w:val="auto"/>
              </w:rPr>
            </w:pPr>
          </w:p>
        </w:tc>
        <w:tc>
          <w:tcPr>
            <w:tcW w:w="1323" w:type="dxa"/>
            <w:vAlign w:val="center"/>
          </w:tcPr>
          <w:p>
            <w:pPr>
              <w:jc w:val="center"/>
              <w:rPr>
                <w:color w:val="auto"/>
              </w:rPr>
            </w:pPr>
            <w:r>
              <w:rPr>
                <w:rFonts w:hint="eastAsia"/>
                <w:color w:val="auto"/>
              </w:rPr>
              <w:t>售后服务保障</w:t>
            </w:r>
          </w:p>
        </w:tc>
        <w:tc>
          <w:tcPr>
            <w:tcW w:w="516" w:type="dxa"/>
            <w:vAlign w:val="center"/>
          </w:tcPr>
          <w:p>
            <w:pPr>
              <w:jc w:val="center"/>
              <w:rPr>
                <w:color w:val="auto"/>
              </w:rPr>
            </w:pPr>
            <w:r>
              <w:rPr>
                <w:rFonts w:hint="eastAsia"/>
                <w:color w:val="auto"/>
              </w:rPr>
              <w:t>8</w:t>
            </w:r>
          </w:p>
        </w:tc>
        <w:tc>
          <w:tcPr>
            <w:tcW w:w="6717" w:type="dxa"/>
            <w:gridSpan w:val="2"/>
            <w:vAlign w:val="center"/>
          </w:tcPr>
          <w:p>
            <w:pPr>
              <w:jc w:val="left"/>
              <w:rPr>
                <w:color w:val="auto"/>
                <w:sz w:val="24"/>
              </w:rPr>
            </w:pPr>
            <w:r>
              <w:rPr>
                <w:rFonts w:hint="eastAsia"/>
                <w:color w:val="auto"/>
                <w:sz w:val="24"/>
              </w:rPr>
              <w:t>根据投标人提供的售后服务方案及承诺进行横向比较评分：</w:t>
            </w:r>
          </w:p>
          <w:p>
            <w:pPr>
              <w:jc w:val="left"/>
              <w:rPr>
                <w:rFonts w:hint="eastAsia"/>
                <w:color w:val="auto"/>
                <w:sz w:val="24"/>
              </w:rPr>
            </w:pPr>
            <w:r>
              <w:rPr>
                <w:rFonts w:hint="eastAsia"/>
                <w:color w:val="auto"/>
                <w:sz w:val="24"/>
              </w:rPr>
              <w:t>1.售后服务方案：维修保障方案具体，可操作性强计4分；方案较具体，可操作性较强计3分，方案可操作性一般计2分，无售后服务方案计0分；</w:t>
            </w:r>
          </w:p>
          <w:p>
            <w:pPr>
              <w:jc w:val="left"/>
              <w:rPr>
                <w:color w:val="auto"/>
                <w:sz w:val="24"/>
              </w:rPr>
            </w:pPr>
            <w:r>
              <w:rPr>
                <w:rFonts w:hint="eastAsia"/>
                <w:color w:val="auto"/>
                <w:sz w:val="24"/>
              </w:rPr>
              <w:t>2.优惠条件服务承诺，包括售后服务优惠措施、质保期限以及质保期后服务优惠方案等，优秀4分，良好3分，一般2分，无任何优惠服务承诺计0分。</w:t>
            </w:r>
          </w:p>
        </w:tc>
      </w:tr>
    </w:tbl>
    <w:p>
      <w:pPr>
        <w:tabs>
          <w:tab w:val="left" w:pos="0"/>
        </w:tabs>
        <w:adjustRightInd w:val="0"/>
        <w:snapToGrid w:val="0"/>
        <w:spacing w:line="360" w:lineRule="exact"/>
        <w:ind w:firstLine="201" w:firstLineChars="200"/>
        <w:rPr>
          <w:rFonts w:ascii="仿宋_GB2312" w:eastAsia="仿宋_GB2312"/>
          <w:b/>
          <w:color w:val="auto"/>
          <w:sz w:val="10"/>
          <w:szCs w:val="10"/>
        </w:rPr>
        <w:sectPr>
          <w:pgSz w:w="11906" w:h="16838"/>
          <w:pgMar w:top="907" w:right="1588" w:bottom="1219" w:left="968" w:header="567" w:footer="454" w:gutter="0"/>
          <w:paperSrc w:first="1" w:other="1"/>
          <w:cols w:space="720" w:num="1"/>
          <w:docGrid w:linePitch="312" w:charSpace="0"/>
        </w:sectPr>
      </w:pPr>
    </w:p>
    <w:p>
      <w:pPr>
        <w:pStyle w:val="4"/>
        <w:numPr>
          <w:ilvl w:val="0"/>
          <w:numId w:val="6"/>
        </w:numPr>
        <w:adjustRightInd/>
        <w:spacing w:beforeLines="100" w:after="0" w:line="360" w:lineRule="exact"/>
        <w:textAlignment w:val="auto"/>
        <w:rPr>
          <w:rFonts w:ascii="宋体" w:hAnsi="宋体"/>
          <w:color w:val="auto"/>
          <w:sz w:val="24"/>
        </w:rPr>
      </w:pPr>
      <w:bookmarkStart w:id="164" w:name="_Toc384934468"/>
      <w:r>
        <w:rPr>
          <w:rFonts w:hint="eastAsia" w:ascii="宋体" w:hAnsi="宋体"/>
          <w:color w:val="auto"/>
          <w:sz w:val="24"/>
        </w:rPr>
        <w:t>评标过程保密</w:t>
      </w:r>
      <w:bookmarkEnd w:id="160"/>
      <w:bookmarkEnd w:id="161"/>
      <w:bookmarkEnd w:id="162"/>
      <w:bookmarkEnd w:id="163"/>
      <w:bookmarkEnd w:id="164"/>
    </w:p>
    <w:p>
      <w:pPr>
        <w:numPr>
          <w:ilvl w:val="1"/>
          <w:numId w:val="52"/>
        </w:numPr>
        <w:spacing w:beforeLines="50" w:line="320" w:lineRule="exact"/>
        <w:rPr>
          <w:rFonts w:ascii="宋体" w:hAnsi="宋体"/>
          <w:color w:val="auto"/>
          <w:szCs w:val="21"/>
        </w:rPr>
      </w:pPr>
      <w:r>
        <w:rPr>
          <w:rFonts w:hint="eastAsia" w:ascii="宋体" w:hAnsi="宋体"/>
          <w:bCs/>
          <w:color w:val="auto"/>
          <w:szCs w:val="21"/>
        </w:rPr>
        <w:tab/>
      </w:r>
      <w:r>
        <w:rPr>
          <w:rFonts w:hint="eastAsia" w:ascii="宋体" w:hAnsi="宋体"/>
          <w:color w:val="auto"/>
          <w:szCs w:val="21"/>
        </w:rPr>
        <w:t>开标之后，直到授予投标人合同止，凡是属于审查、澄清、评价和比较投标的有关资料以及授标意向等，均不得向投标人或其它无关的人员透露。</w:t>
      </w:r>
    </w:p>
    <w:p>
      <w:pPr>
        <w:numPr>
          <w:ilvl w:val="1"/>
          <w:numId w:val="52"/>
        </w:numPr>
        <w:spacing w:beforeLines="50" w:line="320" w:lineRule="exact"/>
        <w:rPr>
          <w:rFonts w:ascii="宋体" w:hAnsi="宋体"/>
          <w:color w:val="auto"/>
          <w:szCs w:val="21"/>
        </w:rPr>
      </w:pPr>
      <w:r>
        <w:rPr>
          <w:rFonts w:hint="eastAsia" w:ascii="宋体" w:hAnsi="宋体"/>
          <w:color w:val="auto"/>
          <w:szCs w:val="21"/>
        </w:rPr>
        <w:tab/>
      </w:r>
      <w:r>
        <w:rPr>
          <w:rFonts w:hint="eastAsia" w:ascii="宋体" w:hAnsi="宋体"/>
          <w:color w:val="auto"/>
          <w:szCs w:val="21"/>
        </w:rPr>
        <w:t>在评标期间，投标人企图影响招标人的任何活动，将导致投标被拒绝，并承担相应的法律责任。为此招标人有权不退还其投标保证金。</w:t>
      </w:r>
    </w:p>
    <w:p>
      <w:pPr>
        <w:pStyle w:val="3"/>
        <w:numPr>
          <w:ilvl w:val="0"/>
          <w:numId w:val="5"/>
        </w:numPr>
        <w:adjustRightInd/>
        <w:spacing w:beforeLines="150" w:afterLines="50" w:line="360" w:lineRule="exact"/>
        <w:jc w:val="center"/>
        <w:textAlignment w:val="auto"/>
        <w:rPr>
          <w:rFonts w:ascii="宋体" w:hAnsi="宋体" w:eastAsia="宋体"/>
          <w:color w:val="auto"/>
          <w:sz w:val="30"/>
          <w:szCs w:val="30"/>
        </w:rPr>
      </w:pPr>
      <w:bookmarkStart w:id="165" w:name="_Toc193643717"/>
      <w:bookmarkStart w:id="166" w:name="_Toc261206980"/>
      <w:bookmarkStart w:id="167" w:name="_Toc384934469"/>
      <w:r>
        <w:rPr>
          <w:rFonts w:hint="eastAsia" w:ascii="宋体" w:hAnsi="宋体" w:eastAsia="宋体"/>
          <w:color w:val="auto"/>
          <w:sz w:val="30"/>
          <w:szCs w:val="30"/>
        </w:rPr>
        <w:t>定　标</w:t>
      </w:r>
      <w:bookmarkEnd w:id="165"/>
      <w:bookmarkEnd w:id="166"/>
      <w:bookmarkEnd w:id="167"/>
    </w:p>
    <w:p>
      <w:pPr>
        <w:pStyle w:val="4"/>
        <w:numPr>
          <w:ilvl w:val="0"/>
          <w:numId w:val="6"/>
        </w:numPr>
        <w:adjustRightInd/>
        <w:spacing w:beforeLines="100" w:after="0" w:line="360" w:lineRule="exact"/>
        <w:textAlignment w:val="auto"/>
        <w:rPr>
          <w:rFonts w:ascii="宋体" w:hAnsi="宋体"/>
          <w:color w:val="auto"/>
          <w:sz w:val="24"/>
        </w:rPr>
      </w:pPr>
      <w:bookmarkStart w:id="168" w:name="_Toc261206981"/>
      <w:bookmarkStart w:id="169" w:name="_Toc193643718"/>
      <w:r>
        <w:rPr>
          <w:rFonts w:hint="eastAsia" w:ascii="宋体" w:hAnsi="宋体"/>
          <w:color w:val="auto"/>
          <w:sz w:val="24"/>
        </w:rPr>
        <w:tab/>
      </w:r>
      <w:bookmarkStart w:id="170" w:name="_Toc384934470"/>
      <w:r>
        <w:rPr>
          <w:rFonts w:hint="eastAsia" w:ascii="宋体" w:hAnsi="宋体"/>
          <w:color w:val="auto"/>
          <w:sz w:val="24"/>
        </w:rPr>
        <w:t>推荐中标候选供应商</w:t>
      </w:r>
      <w:bookmarkEnd w:id="168"/>
      <w:bookmarkEnd w:id="169"/>
      <w:bookmarkEnd w:id="170"/>
    </w:p>
    <w:p>
      <w:pPr>
        <w:numPr>
          <w:ilvl w:val="1"/>
          <w:numId w:val="53"/>
        </w:numPr>
        <w:spacing w:beforeLines="50" w:line="320" w:lineRule="exact"/>
        <w:rPr>
          <w:rFonts w:ascii="宋体" w:hAnsi="宋体"/>
          <w:color w:val="auto"/>
          <w:szCs w:val="21"/>
        </w:rPr>
      </w:pPr>
      <w:r>
        <w:rPr>
          <w:rFonts w:hint="eastAsia" w:ascii="宋体" w:hAnsi="宋体"/>
          <w:color w:val="auto"/>
          <w:szCs w:val="21"/>
        </w:rPr>
        <w:t>评标委员会依据本须知第五款及第六款规定进行评审和作出评标报告，并推荐中标候选供应商或确定预中标供应商。本次招标不承诺最低投标价中标。</w:t>
      </w:r>
    </w:p>
    <w:p>
      <w:pPr>
        <w:pStyle w:val="4"/>
        <w:numPr>
          <w:ilvl w:val="0"/>
          <w:numId w:val="6"/>
        </w:numPr>
        <w:adjustRightInd/>
        <w:spacing w:beforeLines="100" w:after="0" w:line="360" w:lineRule="exact"/>
        <w:textAlignment w:val="auto"/>
        <w:rPr>
          <w:rFonts w:ascii="宋体" w:hAnsi="宋体"/>
          <w:color w:val="auto"/>
          <w:sz w:val="24"/>
        </w:rPr>
      </w:pPr>
      <w:bookmarkStart w:id="171" w:name="_Toc261206982"/>
      <w:bookmarkStart w:id="172" w:name="_Toc193643719"/>
      <w:r>
        <w:rPr>
          <w:rFonts w:hint="eastAsia" w:ascii="宋体" w:hAnsi="宋体"/>
          <w:color w:val="auto"/>
          <w:sz w:val="24"/>
        </w:rPr>
        <w:tab/>
      </w:r>
      <w:bookmarkStart w:id="173" w:name="_Toc384934471"/>
      <w:r>
        <w:rPr>
          <w:rFonts w:hint="eastAsia" w:ascii="宋体" w:hAnsi="宋体"/>
          <w:color w:val="auto"/>
          <w:sz w:val="24"/>
        </w:rPr>
        <w:t>评标报告</w:t>
      </w:r>
      <w:bookmarkEnd w:id="171"/>
      <w:bookmarkEnd w:id="172"/>
      <w:bookmarkEnd w:id="173"/>
    </w:p>
    <w:p>
      <w:pPr>
        <w:numPr>
          <w:ilvl w:val="1"/>
          <w:numId w:val="54"/>
        </w:numPr>
        <w:spacing w:beforeLines="50" w:line="320" w:lineRule="exact"/>
        <w:rPr>
          <w:rFonts w:ascii="宋体" w:hAnsi="宋体"/>
          <w:color w:val="auto"/>
          <w:szCs w:val="21"/>
        </w:rPr>
      </w:pPr>
      <w:r>
        <w:rPr>
          <w:rFonts w:hint="eastAsia" w:ascii="宋体" w:hAnsi="宋体"/>
          <w:color w:val="auto"/>
          <w:szCs w:val="21"/>
        </w:rPr>
        <w:t>评标报告是评标委员会根据全体评标成员签字的原始评标记录和评标结果编写的报告，并由评标委员会全体成员签字。</w:t>
      </w:r>
    </w:p>
    <w:p>
      <w:pPr>
        <w:pStyle w:val="4"/>
        <w:numPr>
          <w:ilvl w:val="0"/>
          <w:numId w:val="6"/>
        </w:numPr>
        <w:adjustRightInd/>
        <w:spacing w:beforeLines="100" w:after="0" w:line="360" w:lineRule="exact"/>
        <w:textAlignment w:val="auto"/>
        <w:rPr>
          <w:rFonts w:ascii="宋体" w:hAnsi="宋体"/>
          <w:color w:val="auto"/>
          <w:sz w:val="24"/>
        </w:rPr>
      </w:pPr>
      <w:bookmarkStart w:id="174" w:name="_Toc261206983"/>
      <w:bookmarkStart w:id="175" w:name="_Toc384934472"/>
      <w:bookmarkStart w:id="176" w:name="_Toc193643720"/>
      <w:r>
        <w:rPr>
          <w:rFonts w:hint="eastAsia" w:ascii="宋体" w:hAnsi="宋体"/>
          <w:color w:val="auto"/>
          <w:sz w:val="24"/>
        </w:rPr>
        <w:t>中标公告</w:t>
      </w:r>
      <w:bookmarkEnd w:id="174"/>
      <w:bookmarkEnd w:id="175"/>
      <w:bookmarkEnd w:id="176"/>
    </w:p>
    <w:p>
      <w:pPr>
        <w:numPr>
          <w:ilvl w:val="1"/>
          <w:numId w:val="55"/>
        </w:numPr>
        <w:spacing w:beforeLines="50" w:line="320" w:lineRule="exact"/>
        <w:rPr>
          <w:rFonts w:ascii="宋体" w:hAnsi="宋体"/>
          <w:color w:val="auto"/>
          <w:szCs w:val="21"/>
        </w:rPr>
      </w:pPr>
      <w:r>
        <w:rPr>
          <w:rFonts w:hint="eastAsia" w:ascii="宋体" w:hAnsi="宋体"/>
          <w:bCs/>
          <w:color w:val="auto"/>
          <w:szCs w:val="21"/>
        </w:rPr>
        <w:tab/>
      </w:r>
      <w:r>
        <w:rPr>
          <w:rFonts w:hint="eastAsia" w:ascii="宋体" w:hAnsi="宋体"/>
          <w:color w:val="auto"/>
          <w:szCs w:val="21"/>
        </w:rPr>
        <w:t>中标供应商确定后，招标人将在湖南工程学院官网上发布中标公告。供应商如对评标结果有异议，应当在中标公告发布之日起五天内，以书面形式向招标人提出质疑。若在公示期内未提出异议，视为认同。</w:t>
      </w:r>
    </w:p>
    <w:p>
      <w:pPr>
        <w:numPr>
          <w:ilvl w:val="1"/>
          <w:numId w:val="55"/>
        </w:numPr>
        <w:spacing w:beforeLines="50" w:line="320" w:lineRule="exact"/>
        <w:rPr>
          <w:rFonts w:ascii="宋体" w:hAnsi="宋体"/>
          <w:color w:val="auto"/>
          <w:szCs w:val="21"/>
        </w:rPr>
      </w:pPr>
      <w:r>
        <w:rPr>
          <w:rFonts w:hint="eastAsia" w:ascii="宋体" w:hAnsi="宋体"/>
          <w:color w:val="auto"/>
          <w:szCs w:val="21"/>
        </w:rPr>
        <w:tab/>
      </w:r>
      <w:r>
        <w:rPr>
          <w:rFonts w:hint="eastAsia" w:ascii="宋体" w:hAnsi="宋体"/>
          <w:color w:val="auto"/>
          <w:szCs w:val="21"/>
        </w:rPr>
        <w:t>质疑投诉人应保证质疑投诉内容的真实性和可靠性，并承担相应法律责任。</w:t>
      </w:r>
    </w:p>
    <w:p>
      <w:pPr>
        <w:pStyle w:val="4"/>
        <w:numPr>
          <w:ilvl w:val="0"/>
          <w:numId w:val="6"/>
        </w:numPr>
        <w:adjustRightInd/>
        <w:spacing w:beforeLines="100" w:after="0" w:line="360" w:lineRule="exact"/>
        <w:textAlignment w:val="auto"/>
        <w:rPr>
          <w:rFonts w:ascii="宋体" w:hAnsi="宋体"/>
          <w:color w:val="auto"/>
          <w:sz w:val="24"/>
        </w:rPr>
      </w:pPr>
      <w:bookmarkStart w:id="177" w:name="_Toc193643721"/>
      <w:bookmarkStart w:id="178" w:name="_Toc261206984"/>
      <w:r>
        <w:rPr>
          <w:rFonts w:hint="eastAsia" w:ascii="宋体" w:hAnsi="宋体"/>
          <w:color w:val="auto"/>
          <w:sz w:val="24"/>
        </w:rPr>
        <w:tab/>
      </w:r>
      <w:bookmarkStart w:id="179" w:name="_Toc384934473"/>
      <w:r>
        <w:rPr>
          <w:rFonts w:hint="eastAsia" w:ascii="宋体" w:hAnsi="宋体"/>
          <w:color w:val="auto"/>
          <w:sz w:val="24"/>
        </w:rPr>
        <w:t>中标通知</w:t>
      </w:r>
      <w:bookmarkEnd w:id="177"/>
      <w:bookmarkEnd w:id="178"/>
      <w:bookmarkEnd w:id="179"/>
    </w:p>
    <w:p>
      <w:pPr>
        <w:numPr>
          <w:ilvl w:val="1"/>
          <w:numId w:val="56"/>
        </w:numPr>
        <w:spacing w:beforeLines="50" w:line="320" w:lineRule="exact"/>
        <w:rPr>
          <w:rFonts w:ascii="宋体" w:hAnsi="宋体"/>
          <w:color w:val="auto"/>
          <w:szCs w:val="21"/>
        </w:rPr>
      </w:pPr>
      <w:r>
        <w:rPr>
          <w:rFonts w:hint="eastAsia" w:ascii="宋体" w:hAnsi="宋体"/>
          <w:bCs/>
          <w:color w:val="auto"/>
          <w:szCs w:val="21"/>
        </w:rPr>
        <w:tab/>
      </w:r>
      <w:r>
        <w:rPr>
          <w:rFonts w:hint="eastAsia" w:ascii="宋体" w:hAnsi="宋体"/>
          <w:color w:val="auto"/>
          <w:szCs w:val="21"/>
        </w:rPr>
        <w:t>评标结束确定中标结果后，经公示无异议后，签发《中标通知书》，发出时间不超过投标有效期。《中标通知书》一经发出，即发生法律效力。</w:t>
      </w:r>
    </w:p>
    <w:p>
      <w:pPr>
        <w:numPr>
          <w:ilvl w:val="1"/>
          <w:numId w:val="56"/>
        </w:numPr>
        <w:spacing w:beforeLines="50" w:line="320" w:lineRule="exact"/>
        <w:rPr>
          <w:rFonts w:ascii="宋体" w:hAnsi="宋体"/>
          <w:color w:val="auto"/>
          <w:szCs w:val="21"/>
        </w:rPr>
      </w:pPr>
      <w:r>
        <w:rPr>
          <w:rFonts w:hint="eastAsia" w:ascii="宋体" w:hAnsi="宋体"/>
          <w:color w:val="auto"/>
          <w:szCs w:val="21"/>
        </w:rPr>
        <w:tab/>
      </w:r>
      <w:r>
        <w:rPr>
          <w:rFonts w:hint="eastAsia" w:ascii="宋体" w:hAnsi="宋体"/>
          <w:color w:val="auto"/>
          <w:szCs w:val="21"/>
        </w:rPr>
        <w:t>中标通知书是合同的重要组成部分,对采购人和中标候选人具有同等法律效力。</w:t>
      </w:r>
    </w:p>
    <w:p>
      <w:pPr>
        <w:pStyle w:val="3"/>
        <w:numPr>
          <w:ilvl w:val="0"/>
          <w:numId w:val="5"/>
        </w:numPr>
        <w:adjustRightInd/>
        <w:spacing w:beforeLines="150" w:afterLines="50" w:line="360" w:lineRule="exact"/>
        <w:jc w:val="center"/>
        <w:textAlignment w:val="auto"/>
        <w:rPr>
          <w:rFonts w:ascii="宋体" w:hAnsi="宋体" w:eastAsia="宋体"/>
          <w:color w:val="auto"/>
          <w:sz w:val="30"/>
          <w:szCs w:val="30"/>
        </w:rPr>
      </w:pPr>
      <w:bookmarkStart w:id="180" w:name="_Toc103569390"/>
      <w:bookmarkStart w:id="181" w:name="_Toc261206985"/>
      <w:bookmarkStart w:id="182" w:name="_Toc384934474"/>
      <w:bookmarkStart w:id="183" w:name="_Toc193643722"/>
      <w:bookmarkStart w:id="184" w:name="_Toc134155435"/>
      <w:r>
        <w:rPr>
          <w:rFonts w:hint="eastAsia" w:ascii="宋体" w:hAnsi="宋体" w:eastAsia="宋体"/>
          <w:color w:val="auto"/>
          <w:sz w:val="30"/>
          <w:szCs w:val="30"/>
        </w:rPr>
        <w:t>授予合同</w:t>
      </w:r>
      <w:bookmarkEnd w:id="180"/>
      <w:bookmarkEnd w:id="181"/>
      <w:bookmarkEnd w:id="182"/>
      <w:bookmarkEnd w:id="183"/>
      <w:bookmarkEnd w:id="184"/>
    </w:p>
    <w:p>
      <w:pPr>
        <w:pStyle w:val="4"/>
        <w:numPr>
          <w:ilvl w:val="0"/>
          <w:numId w:val="6"/>
        </w:numPr>
        <w:adjustRightInd/>
        <w:spacing w:beforeLines="100" w:after="0" w:line="360" w:lineRule="exact"/>
        <w:textAlignment w:val="auto"/>
        <w:rPr>
          <w:rFonts w:ascii="宋体" w:hAnsi="宋体"/>
          <w:color w:val="auto"/>
          <w:sz w:val="24"/>
        </w:rPr>
      </w:pPr>
      <w:bookmarkStart w:id="185" w:name="_Toc261206986"/>
      <w:bookmarkStart w:id="186" w:name="_Toc193643723"/>
      <w:r>
        <w:rPr>
          <w:rFonts w:hint="eastAsia" w:ascii="宋体" w:hAnsi="宋体"/>
          <w:color w:val="auto"/>
          <w:sz w:val="24"/>
        </w:rPr>
        <w:tab/>
      </w:r>
      <w:bookmarkStart w:id="187" w:name="_Toc384934475"/>
      <w:r>
        <w:rPr>
          <w:rFonts w:hint="eastAsia" w:ascii="宋体" w:hAnsi="宋体"/>
          <w:color w:val="auto"/>
          <w:sz w:val="24"/>
        </w:rPr>
        <w:t>合同授予标准</w:t>
      </w:r>
      <w:bookmarkEnd w:id="185"/>
      <w:bookmarkEnd w:id="186"/>
      <w:bookmarkEnd w:id="187"/>
    </w:p>
    <w:p>
      <w:pPr>
        <w:numPr>
          <w:ilvl w:val="1"/>
          <w:numId w:val="57"/>
        </w:numPr>
        <w:spacing w:beforeLines="50" w:line="320" w:lineRule="exact"/>
        <w:rPr>
          <w:rFonts w:ascii="宋体" w:hAnsi="宋体"/>
          <w:color w:val="auto"/>
          <w:szCs w:val="21"/>
        </w:rPr>
      </w:pPr>
      <w:r>
        <w:rPr>
          <w:rFonts w:hint="eastAsia" w:ascii="宋体" w:hAnsi="宋体"/>
          <w:bCs/>
          <w:color w:val="auto"/>
          <w:szCs w:val="21"/>
        </w:rPr>
        <w:tab/>
      </w:r>
      <w:r>
        <w:rPr>
          <w:rFonts w:hint="eastAsia" w:ascii="宋体" w:hAnsi="宋体"/>
          <w:color w:val="auto"/>
          <w:szCs w:val="21"/>
        </w:rPr>
        <w:t>项目采购合同将授予按本须知七所确定的中标供应商。</w:t>
      </w:r>
    </w:p>
    <w:p>
      <w:pPr>
        <w:numPr>
          <w:ilvl w:val="1"/>
          <w:numId w:val="57"/>
        </w:numPr>
        <w:spacing w:beforeLines="50" w:line="320" w:lineRule="exact"/>
        <w:rPr>
          <w:rFonts w:ascii="宋体" w:hAnsi="宋体"/>
          <w:color w:val="auto"/>
          <w:szCs w:val="21"/>
        </w:rPr>
      </w:pPr>
      <w:r>
        <w:rPr>
          <w:rFonts w:hint="eastAsia" w:ascii="宋体" w:hAnsi="宋体"/>
          <w:color w:val="auto"/>
          <w:szCs w:val="21"/>
        </w:rPr>
        <w:tab/>
      </w:r>
      <w:r>
        <w:rPr>
          <w:rFonts w:hint="eastAsia" w:ascii="宋体" w:hAnsi="宋体"/>
          <w:color w:val="auto"/>
          <w:szCs w:val="21"/>
        </w:rPr>
        <w:t>无正当理由，采购人不得拒绝任何投标人的有效投标。</w:t>
      </w:r>
    </w:p>
    <w:p>
      <w:pPr>
        <w:numPr>
          <w:ilvl w:val="1"/>
          <w:numId w:val="57"/>
        </w:numPr>
        <w:spacing w:beforeLines="50" w:line="320" w:lineRule="exact"/>
        <w:rPr>
          <w:rFonts w:ascii="宋体" w:hAnsi="宋体"/>
          <w:color w:val="auto"/>
          <w:szCs w:val="21"/>
        </w:rPr>
      </w:pPr>
      <w:bookmarkStart w:id="188" w:name="_Toc103569393"/>
      <w:bookmarkStart w:id="189" w:name="_Toc134155438"/>
      <w:r>
        <w:rPr>
          <w:rFonts w:hint="eastAsia" w:ascii="宋体" w:hAnsi="宋体"/>
          <w:color w:val="auto"/>
          <w:szCs w:val="21"/>
        </w:rPr>
        <w:tab/>
      </w:r>
      <w:bookmarkEnd w:id="188"/>
      <w:bookmarkEnd w:id="189"/>
      <w:r>
        <w:rPr>
          <w:rFonts w:hint="eastAsia" w:ascii="宋体" w:hAnsi="宋体"/>
          <w:color w:val="auto"/>
          <w:szCs w:val="21"/>
        </w:rPr>
        <w:t>招标人在授予中标供应商合同时有权变更中标货物的数量和服务的内容。</w:t>
      </w:r>
    </w:p>
    <w:p>
      <w:pPr>
        <w:pStyle w:val="4"/>
        <w:numPr>
          <w:ilvl w:val="0"/>
          <w:numId w:val="6"/>
        </w:numPr>
        <w:adjustRightInd/>
        <w:spacing w:beforeLines="100" w:after="0" w:line="360" w:lineRule="exact"/>
        <w:textAlignment w:val="auto"/>
        <w:rPr>
          <w:rFonts w:ascii="宋体" w:hAnsi="宋体"/>
          <w:color w:val="auto"/>
          <w:sz w:val="24"/>
        </w:rPr>
      </w:pPr>
      <w:bookmarkStart w:id="190" w:name="_Toc193643724"/>
      <w:bookmarkStart w:id="191" w:name="_Toc261206987"/>
      <w:r>
        <w:rPr>
          <w:rFonts w:hint="eastAsia" w:ascii="宋体" w:hAnsi="宋体"/>
          <w:color w:val="auto"/>
          <w:sz w:val="24"/>
        </w:rPr>
        <w:tab/>
      </w:r>
      <w:bookmarkStart w:id="192" w:name="_Toc384934476"/>
      <w:r>
        <w:rPr>
          <w:rFonts w:hint="eastAsia" w:ascii="宋体" w:hAnsi="宋体"/>
          <w:color w:val="auto"/>
          <w:sz w:val="24"/>
        </w:rPr>
        <w:t>最终审查</w:t>
      </w:r>
      <w:bookmarkEnd w:id="190"/>
      <w:bookmarkEnd w:id="191"/>
      <w:bookmarkEnd w:id="192"/>
    </w:p>
    <w:p>
      <w:pPr>
        <w:pStyle w:val="18"/>
        <w:adjustRightInd w:val="0"/>
        <w:snapToGrid w:val="0"/>
        <w:spacing w:line="380" w:lineRule="atLeast"/>
        <w:ind w:left="680" w:leftChars="324"/>
        <w:rPr>
          <w:rFonts w:ascii="宋体" w:hAnsi="宋体"/>
          <w:bCs/>
          <w:color w:val="auto"/>
          <w:sz w:val="21"/>
          <w:szCs w:val="21"/>
        </w:rPr>
      </w:pPr>
      <w:r>
        <w:rPr>
          <w:rFonts w:hint="eastAsia" w:ascii="宋体" w:hAnsi="宋体"/>
          <w:bCs/>
          <w:color w:val="auto"/>
          <w:sz w:val="21"/>
          <w:szCs w:val="21"/>
        </w:rPr>
        <w:t>在签订合同之前招标人有权对中标供应商进行最终审查</w:t>
      </w:r>
    </w:p>
    <w:p>
      <w:pPr>
        <w:numPr>
          <w:ilvl w:val="1"/>
          <w:numId w:val="58"/>
        </w:numPr>
        <w:spacing w:beforeLines="50" w:line="320" w:lineRule="exact"/>
        <w:rPr>
          <w:rFonts w:ascii="宋体" w:hAnsi="宋体"/>
          <w:color w:val="auto"/>
          <w:szCs w:val="21"/>
        </w:rPr>
      </w:pPr>
      <w:r>
        <w:rPr>
          <w:rFonts w:hint="eastAsia" w:ascii="宋体" w:hAnsi="宋体"/>
          <w:bCs/>
          <w:color w:val="auto"/>
          <w:szCs w:val="21"/>
        </w:rPr>
        <w:tab/>
      </w:r>
      <w:r>
        <w:rPr>
          <w:rFonts w:hint="eastAsia" w:ascii="宋体" w:hAnsi="宋体"/>
          <w:color w:val="auto"/>
          <w:szCs w:val="21"/>
        </w:rPr>
        <w:t>最终审查的对象是招标项目的中标人，即意向授予合同的符合中标条件的投标人。</w:t>
      </w:r>
    </w:p>
    <w:p>
      <w:pPr>
        <w:numPr>
          <w:ilvl w:val="1"/>
          <w:numId w:val="58"/>
        </w:numPr>
        <w:spacing w:beforeLines="50" w:line="320" w:lineRule="exact"/>
        <w:rPr>
          <w:rFonts w:ascii="宋体" w:hAnsi="宋体"/>
          <w:color w:val="auto"/>
          <w:szCs w:val="21"/>
        </w:rPr>
      </w:pPr>
      <w:r>
        <w:rPr>
          <w:rFonts w:hint="eastAsia" w:ascii="宋体" w:hAnsi="宋体"/>
          <w:color w:val="auto"/>
          <w:szCs w:val="21"/>
        </w:rPr>
        <w:tab/>
      </w:r>
      <w:r>
        <w:rPr>
          <w:rFonts w:hint="eastAsia" w:ascii="宋体" w:hAnsi="宋体"/>
          <w:color w:val="auto"/>
          <w:szCs w:val="21"/>
        </w:rPr>
        <w:t>最终审查的内容是对预中标人的投标货物性能、技术状况、生产条件、货物质量、投标人资格、信誉以及招标人认为有必要了解的其它问题作进一步的考查。</w:t>
      </w:r>
    </w:p>
    <w:p>
      <w:pPr>
        <w:numPr>
          <w:ilvl w:val="1"/>
          <w:numId w:val="58"/>
        </w:numPr>
        <w:spacing w:beforeLines="50" w:line="320" w:lineRule="exact"/>
        <w:rPr>
          <w:rFonts w:ascii="宋体" w:hAnsi="宋体"/>
          <w:color w:val="auto"/>
          <w:szCs w:val="21"/>
        </w:rPr>
      </w:pPr>
      <w:r>
        <w:rPr>
          <w:rFonts w:hint="eastAsia" w:ascii="宋体" w:hAnsi="宋体"/>
          <w:color w:val="auto"/>
          <w:szCs w:val="21"/>
        </w:rPr>
        <w:tab/>
      </w:r>
      <w:r>
        <w:rPr>
          <w:rFonts w:hint="eastAsia" w:ascii="宋体" w:hAnsi="宋体"/>
          <w:color w:val="auto"/>
          <w:szCs w:val="21"/>
        </w:rPr>
        <w:t>最终审查的方式：</w:t>
      </w:r>
    </w:p>
    <w:p>
      <w:pPr>
        <w:numPr>
          <w:ilvl w:val="0"/>
          <w:numId w:val="59"/>
        </w:numPr>
        <w:snapToGrid w:val="0"/>
        <w:spacing w:line="360" w:lineRule="exact"/>
        <w:rPr>
          <w:rFonts w:ascii="宋体" w:hAnsi="宋体"/>
          <w:color w:val="auto"/>
          <w:szCs w:val="21"/>
        </w:rPr>
      </w:pPr>
      <w:r>
        <w:rPr>
          <w:rFonts w:hint="eastAsia" w:ascii="宋体" w:hAnsi="宋体"/>
          <w:color w:val="auto"/>
          <w:szCs w:val="21"/>
        </w:rPr>
        <w:t xml:space="preserve">对中标人进行询问； </w:t>
      </w:r>
    </w:p>
    <w:p>
      <w:pPr>
        <w:numPr>
          <w:ilvl w:val="0"/>
          <w:numId w:val="59"/>
        </w:numPr>
        <w:snapToGrid w:val="0"/>
        <w:spacing w:line="360" w:lineRule="exact"/>
        <w:rPr>
          <w:rFonts w:ascii="宋体" w:hAnsi="宋体"/>
          <w:color w:val="auto"/>
          <w:szCs w:val="21"/>
        </w:rPr>
      </w:pPr>
      <w:r>
        <w:rPr>
          <w:rFonts w:hint="eastAsia" w:ascii="宋体" w:hAnsi="宋体"/>
          <w:color w:val="auto"/>
          <w:szCs w:val="21"/>
        </w:rPr>
        <w:t>对中标人进行实地考察。</w:t>
      </w:r>
    </w:p>
    <w:p>
      <w:pPr>
        <w:numPr>
          <w:ilvl w:val="1"/>
          <w:numId w:val="58"/>
        </w:numPr>
        <w:spacing w:beforeLines="50" w:line="320" w:lineRule="exact"/>
        <w:rPr>
          <w:rFonts w:ascii="宋体" w:hAnsi="宋体"/>
          <w:color w:val="auto"/>
          <w:szCs w:val="21"/>
        </w:rPr>
      </w:pPr>
      <w:r>
        <w:rPr>
          <w:rFonts w:hint="eastAsia" w:ascii="宋体" w:hAnsi="宋体"/>
          <w:bCs/>
          <w:color w:val="auto"/>
          <w:szCs w:val="21"/>
        </w:rPr>
        <w:tab/>
      </w:r>
      <w:r>
        <w:rPr>
          <w:rFonts w:hint="eastAsia" w:ascii="宋体" w:hAnsi="宋体"/>
          <w:color w:val="auto"/>
          <w:szCs w:val="21"/>
        </w:rPr>
        <w:t>接受最终审查的中标人，必须如实回答和受理招标人的询问或考查，并提供所需的有关资料。</w:t>
      </w:r>
    </w:p>
    <w:p>
      <w:pPr>
        <w:pStyle w:val="4"/>
        <w:numPr>
          <w:ilvl w:val="0"/>
          <w:numId w:val="6"/>
        </w:numPr>
        <w:adjustRightInd/>
        <w:spacing w:beforeLines="100" w:after="0" w:line="360" w:lineRule="exact"/>
        <w:textAlignment w:val="auto"/>
        <w:rPr>
          <w:rFonts w:ascii="宋体" w:hAnsi="宋体"/>
          <w:color w:val="auto"/>
          <w:sz w:val="24"/>
        </w:rPr>
      </w:pPr>
      <w:bookmarkStart w:id="193" w:name="_Toc261206988"/>
      <w:bookmarkStart w:id="194" w:name="_Toc193643725"/>
      <w:r>
        <w:rPr>
          <w:rFonts w:hint="eastAsia" w:ascii="宋体" w:hAnsi="宋体"/>
          <w:color w:val="auto"/>
          <w:sz w:val="24"/>
        </w:rPr>
        <w:tab/>
      </w:r>
      <w:bookmarkStart w:id="195" w:name="_Toc384934477"/>
      <w:r>
        <w:rPr>
          <w:rFonts w:hint="eastAsia" w:ascii="宋体" w:hAnsi="宋体"/>
          <w:color w:val="auto"/>
          <w:sz w:val="24"/>
        </w:rPr>
        <w:t>签订合同</w:t>
      </w:r>
      <w:bookmarkEnd w:id="193"/>
      <w:bookmarkEnd w:id="194"/>
      <w:bookmarkEnd w:id="195"/>
    </w:p>
    <w:p>
      <w:pPr>
        <w:numPr>
          <w:ilvl w:val="1"/>
          <w:numId w:val="60"/>
        </w:numPr>
        <w:spacing w:beforeLines="50" w:line="320" w:lineRule="exact"/>
        <w:rPr>
          <w:rFonts w:ascii="宋体" w:hAnsi="宋体"/>
          <w:color w:val="auto"/>
          <w:szCs w:val="21"/>
        </w:rPr>
      </w:pPr>
      <w:r>
        <w:rPr>
          <w:rFonts w:hint="eastAsia" w:ascii="宋体" w:hAnsi="宋体"/>
          <w:bCs/>
          <w:color w:val="auto"/>
          <w:szCs w:val="21"/>
        </w:rPr>
        <w:tab/>
      </w:r>
      <w:r>
        <w:rPr>
          <w:rFonts w:hint="eastAsia" w:ascii="宋体" w:hAnsi="宋体"/>
          <w:color w:val="auto"/>
          <w:szCs w:val="21"/>
        </w:rPr>
        <w:t>采购人应当自中标通知书发出之日起10个工作日内,按照招标文件和投标文件内容与中标候选人签订书面合同。合同应采用本招标文件第三部分规定的合同样本。</w:t>
      </w:r>
    </w:p>
    <w:p>
      <w:pPr>
        <w:numPr>
          <w:ilvl w:val="1"/>
          <w:numId w:val="60"/>
        </w:numPr>
        <w:spacing w:beforeLines="50" w:line="320" w:lineRule="exact"/>
        <w:rPr>
          <w:rFonts w:ascii="宋体" w:hAnsi="宋体"/>
          <w:color w:val="auto"/>
          <w:szCs w:val="21"/>
        </w:rPr>
      </w:pPr>
      <w:r>
        <w:rPr>
          <w:rFonts w:hint="eastAsia" w:ascii="宋体" w:hAnsi="宋体"/>
          <w:color w:val="auto"/>
          <w:szCs w:val="21"/>
        </w:rPr>
        <w:tab/>
      </w:r>
      <w:r>
        <w:rPr>
          <w:rFonts w:hint="eastAsia" w:ascii="宋体" w:hAnsi="宋体"/>
          <w:color w:val="auto"/>
          <w:szCs w:val="21"/>
        </w:rPr>
        <w:t>在采购合同履行中，采购人需追加与合同标的相同的货物的，在不改变合同其他条款的前提下，可以与中标人协商签订补充合同，但所有补充合同的采购金额不得超过原合同采购金额的百分之十。</w:t>
      </w:r>
    </w:p>
    <w:p>
      <w:pPr>
        <w:numPr>
          <w:ilvl w:val="1"/>
          <w:numId w:val="60"/>
        </w:numPr>
        <w:spacing w:beforeLines="50" w:line="320" w:lineRule="exact"/>
        <w:rPr>
          <w:rFonts w:ascii="宋体" w:hAnsi="宋体"/>
          <w:color w:val="auto"/>
          <w:szCs w:val="21"/>
        </w:rPr>
      </w:pPr>
      <w:r>
        <w:rPr>
          <w:rFonts w:hint="eastAsia" w:ascii="宋体" w:hAnsi="宋体"/>
          <w:color w:val="auto"/>
          <w:szCs w:val="21"/>
        </w:rPr>
        <w:tab/>
      </w:r>
      <w:r>
        <w:rPr>
          <w:rFonts w:hint="eastAsia" w:ascii="宋体" w:hAnsi="宋体"/>
          <w:color w:val="auto"/>
          <w:szCs w:val="21"/>
        </w:rPr>
        <w:t>中标人应当按照合同约定履行义务，完成中标项目。中标人不得向他人转让或分包中标项目。</w:t>
      </w:r>
    </w:p>
    <w:p>
      <w:pPr>
        <w:pStyle w:val="4"/>
        <w:numPr>
          <w:ilvl w:val="0"/>
          <w:numId w:val="6"/>
        </w:numPr>
        <w:adjustRightInd/>
        <w:spacing w:beforeLines="100" w:after="0" w:line="360" w:lineRule="exact"/>
        <w:textAlignment w:val="auto"/>
        <w:rPr>
          <w:rFonts w:ascii="宋体" w:hAnsi="宋体"/>
          <w:color w:val="auto"/>
          <w:sz w:val="24"/>
        </w:rPr>
      </w:pPr>
      <w:bookmarkStart w:id="196" w:name="_Toc261206990"/>
      <w:bookmarkStart w:id="197" w:name="_Toc193643727"/>
      <w:r>
        <w:rPr>
          <w:rFonts w:hint="eastAsia" w:ascii="宋体" w:hAnsi="宋体"/>
          <w:color w:val="auto"/>
          <w:sz w:val="24"/>
        </w:rPr>
        <w:tab/>
      </w:r>
      <w:bookmarkStart w:id="198" w:name="_Toc384934478"/>
      <w:r>
        <w:rPr>
          <w:rFonts w:hint="eastAsia" w:ascii="宋体" w:hAnsi="宋体"/>
          <w:color w:val="auto"/>
          <w:sz w:val="24"/>
        </w:rPr>
        <w:t>招标文件存在歧视性条款</w:t>
      </w:r>
      <w:bookmarkEnd w:id="196"/>
      <w:bookmarkEnd w:id="197"/>
      <w:bookmarkEnd w:id="198"/>
    </w:p>
    <w:p>
      <w:pPr>
        <w:numPr>
          <w:ilvl w:val="1"/>
          <w:numId w:val="61"/>
        </w:numPr>
        <w:spacing w:line="320" w:lineRule="exact"/>
        <w:rPr>
          <w:rFonts w:ascii="宋体" w:hAnsi="宋体"/>
          <w:color w:val="auto"/>
          <w:szCs w:val="21"/>
        </w:rPr>
      </w:pPr>
      <w:bookmarkStart w:id="199" w:name="_Toc103569397"/>
      <w:bookmarkStart w:id="200" w:name="_Toc193643728"/>
      <w:bookmarkStart w:id="201" w:name="_Toc134155442"/>
      <w:r>
        <w:rPr>
          <w:rFonts w:hint="eastAsia" w:ascii="宋体" w:hAnsi="宋体"/>
          <w:color w:val="auto"/>
          <w:szCs w:val="21"/>
        </w:rPr>
        <w:t xml:space="preserve">  投标人对招标文件存在歧视性条款的，应在购买采购文件之日起3个工作日内向招标人质    </w:t>
      </w:r>
    </w:p>
    <w:p>
      <w:pPr>
        <w:spacing w:line="320" w:lineRule="exact"/>
        <w:ind w:left="630" w:leftChars="300"/>
        <w:rPr>
          <w:rFonts w:ascii="宋体" w:hAnsi="宋体"/>
          <w:color w:val="auto"/>
          <w:szCs w:val="21"/>
        </w:rPr>
      </w:pPr>
      <w:r>
        <w:rPr>
          <w:rFonts w:hint="eastAsia" w:ascii="宋体" w:hAnsi="宋体"/>
          <w:color w:val="auto"/>
          <w:szCs w:val="21"/>
        </w:rPr>
        <w:t>疑，若招标人回复不满意可向湖南工程学院招标工作领导小组反映。若无质疑，视同认可招标文件。</w:t>
      </w:r>
    </w:p>
    <w:p>
      <w:pPr>
        <w:pStyle w:val="4"/>
        <w:numPr>
          <w:ilvl w:val="0"/>
          <w:numId w:val="6"/>
        </w:numPr>
        <w:adjustRightInd/>
        <w:spacing w:beforeLines="100" w:after="0" w:line="360" w:lineRule="exact"/>
        <w:textAlignment w:val="auto"/>
        <w:rPr>
          <w:rFonts w:ascii="宋体" w:hAnsi="宋体"/>
          <w:color w:val="auto"/>
          <w:sz w:val="24"/>
        </w:rPr>
      </w:pPr>
      <w:bookmarkStart w:id="202" w:name="_Toc261206991"/>
      <w:r>
        <w:rPr>
          <w:rFonts w:hint="eastAsia" w:ascii="宋体" w:hAnsi="宋体"/>
          <w:color w:val="auto"/>
          <w:sz w:val="24"/>
        </w:rPr>
        <w:tab/>
      </w:r>
      <w:bookmarkStart w:id="203" w:name="_Toc384934479"/>
      <w:r>
        <w:rPr>
          <w:rFonts w:hint="eastAsia" w:ascii="宋体" w:hAnsi="宋体"/>
          <w:color w:val="auto"/>
          <w:sz w:val="24"/>
        </w:rPr>
        <w:t>腐败和欺诈行为</w:t>
      </w:r>
      <w:bookmarkEnd w:id="199"/>
      <w:bookmarkEnd w:id="200"/>
      <w:bookmarkEnd w:id="201"/>
      <w:bookmarkEnd w:id="202"/>
      <w:bookmarkEnd w:id="203"/>
    </w:p>
    <w:p>
      <w:pPr>
        <w:pStyle w:val="18"/>
        <w:adjustRightInd w:val="0"/>
        <w:snapToGrid w:val="0"/>
        <w:spacing w:beforeLines="20" w:afterLines="20" w:line="320" w:lineRule="exact"/>
        <w:ind w:left="680"/>
        <w:rPr>
          <w:rFonts w:ascii="宋体" w:hAnsi="宋体"/>
          <w:bCs/>
          <w:color w:val="auto"/>
          <w:sz w:val="21"/>
          <w:szCs w:val="21"/>
        </w:rPr>
      </w:pPr>
      <w:r>
        <w:rPr>
          <w:rFonts w:hint="eastAsia" w:ascii="宋体" w:hAnsi="宋体"/>
          <w:bCs/>
          <w:color w:val="auto"/>
          <w:sz w:val="21"/>
          <w:szCs w:val="21"/>
        </w:rPr>
        <w:t>本招标形成的合同项下的买方（采购人）和卖方（中标人）在合同执行和实施过程中应遵守以下道德标准。为此目的，定义下述条件：</w:t>
      </w:r>
    </w:p>
    <w:p>
      <w:pPr>
        <w:spacing w:beforeLines="50" w:line="320" w:lineRule="exact"/>
        <w:rPr>
          <w:rFonts w:ascii="宋体" w:hAnsi="宋体"/>
          <w:color w:val="auto"/>
          <w:szCs w:val="21"/>
        </w:rPr>
      </w:pPr>
      <w:r>
        <w:rPr>
          <w:rFonts w:hint="eastAsia" w:ascii="宋体" w:hAnsi="宋体"/>
          <w:bCs/>
          <w:color w:val="auto"/>
          <w:szCs w:val="21"/>
        </w:rPr>
        <w:tab/>
      </w:r>
      <w:r>
        <w:rPr>
          <w:rFonts w:hint="eastAsia" w:ascii="宋体" w:hAnsi="宋体"/>
          <w:bCs/>
          <w:color w:val="auto"/>
          <w:szCs w:val="21"/>
        </w:rPr>
        <w:t xml:space="preserve">40.1 </w:t>
      </w:r>
      <w:r>
        <w:rPr>
          <w:rFonts w:hint="eastAsia" w:ascii="宋体" w:hAnsi="宋体"/>
          <w:color w:val="auto"/>
          <w:szCs w:val="21"/>
        </w:rPr>
        <w:t>“腐败行为”是指通过提供、给予、接受、索取任何有价值的东西来影响采购人员在采购</w:t>
      </w:r>
    </w:p>
    <w:p>
      <w:pPr>
        <w:spacing w:line="320" w:lineRule="exact"/>
        <w:ind w:firstLine="630" w:firstLineChars="300"/>
        <w:rPr>
          <w:rFonts w:ascii="宋体" w:hAnsi="宋体"/>
          <w:color w:val="auto"/>
          <w:szCs w:val="21"/>
        </w:rPr>
      </w:pPr>
      <w:r>
        <w:rPr>
          <w:rFonts w:hint="eastAsia" w:ascii="宋体" w:hAnsi="宋体"/>
          <w:color w:val="auto"/>
          <w:szCs w:val="21"/>
        </w:rPr>
        <w:t>过程中或合同实施过程中的行为。</w:t>
      </w:r>
    </w:p>
    <w:p>
      <w:pPr>
        <w:spacing w:beforeLines="50" w:line="320" w:lineRule="exact"/>
        <w:rPr>
          <w:rFonts w:ascii="宋体" w:hAnsi="宋体"/>
          <w:color w:val="auto"/>
          <w:szCs w:val="21"/>
        </w:rPr>
      </w:pPr>
      <w:r>
        <w:rPr>
          <w:rFonts w:hint="eastAsia" w:ascii="宋体" w:hAnsi="宋体"/>
          <w:color w:val="auto"/>
          <w:szCs w:val="21"/>
        </w:rPr>
        <w:tab/>
      </w:r>
      <w:r>
        <w:rPr>
          <w:rFonts w:hint="eastAsia" w:ascii="宋体" w:hAnsi="宋体"/>
          <w:color w:val="auto"/>
          <w:szCs w:val="21"/>
        </w:rPr>
        <w:t>40.2 “欺诈行为”是指为了影响采购过程或合同实施过程而谎报事实，损害买方和公共利益，</w:t>
      </w:r>
    </w:p>
    <w:p>
      <w:pPr>
        <w:spacing w:line="320" w:lineRule="exact"/>
        <w:ind w:left="630" w:leftChars="300"/>
        <w:rPr>
          <w:rFonts w:ascii="宋体" w:hAnsi="宋体"/>
          <w:color w:val="auto"/>
          <w:szCs w:val="21"/>
        </w:rPr>
      </w:pPr>
      <w:r>
        <w:rPr>
          <w:rFonts w:hint="eastAsia" w:ascii="宋体" w:hAnsi="宋体"/>
          <w:color w:val="auto"/>
          <w:szCs w:val="21"/>
        </w:rPr>
        <w:t>包括投标人之间串通投标（递交投标文件之前和之后），人为地使投标丧失竞争性，剥夺了买方从竞争中所获得的利益。</w:t>
      </w:r>
    </w:p>
    <w:p>
      <w:pPr>
        <w:spacing w:beforeLines="50" w:line="320" w:lineRule="exact"/>
        <w:rPr>
          <w:rFonts w:ascii="宋体" w:hAnsi="宋体"/>
          <w:color w:val="auto"/>
          <w:szCs w:val="21"/>
        </w:rPr>
      </w:pPr>
      <w:r>
        <w:rPr>
          <w:rFonts w:hint="eastAsia" w:ascii="宋体" w:hAnsi="宋体"/>
          <w:color w:val="auto"/>
          <w:szCs w:val="21"/>
        </w:rPr>
        <w:tab/>
      </w:r>
      <w:r>
        <w:rPr>
          <w:rFonts w:hint="eastAsia" w:ascii="宋体" w:hAnsi="宋体"/>
          <w:color w:val="auto"/>
          <w:szCs w:val="21"/>
        </w:rPr>
        <w:t>40.3  在投标有效期内，投标人没有公开宣示价格调整政策，在采购条件不优于本项目采购人的</w:t>
      </w:r>
    </w:p>
    <w:p>
      <w:pPr>
        <w:spacing w:line="320" w:lineRule="exact"/>
        <w:ind w:firstLine="630" w:firstLineChars="300"/>
        <w:rPr>
          <w:rFonts w:ascii="宋体" w:hAnsi="宋体"/>
          <w:color w:val="auto"/>
          <w:szCs w:val="21"/>
        </w:rPr>
      </w:pPr>
      <w:r>
        <w:rPr>
          <w:rFonts w:hint="eastAsia" w:ascii="宋体" w:hAnsi="宋体"/>
          <w:color w:val="auto"/>
          <w:szCs w:val="21"/>
        </w:rPr>
        <w:t>情况下给予其他采购人更优惠的价格和服务，其行为构成歧视性报价。</w:t>
      </w:r>
    </w:p>
    <w:p>
      <w:pPr>
        <w:spacing w:beforeLines="50" w:line="320" w:lineRule="exact"/>
        <w:rPr>
          <w:rFonts w:ascii="宋体" w:hAnsi="宋体"/>
          <w:color w:val="auto"/>
          <w:szCs w:val="21"/>
        </w:rPr>
      </w:pPr>
      <w:r>
        <w:rPr>
          <w:rFonts w:hint="eastAsia" w:ascii="宋体" w:hAnsi="宋体"/>
          <w:color w:val="auto"/>
          <w:szCs w:val="21"/>
        </w:rPr>
        <w:tab/>
      </w:r>
      <w:r>
        <w:rPr>
          <w:rFonts w:hint="eastAsia" w:ascii="宋体" w:hAnsi="宋体"/>
          <w:color w:val="auto"/>
          <w:szCs w:val="21"/>
        </w:rPr>
        <w:t>40.4  如被推荐的中标人在本次招标采购的竞争中有腐败和欺诈行为，则被拒绝授予合同。</w:t>
      </w:r>
    </w:p>
    <w:p>
      <w:pPr>
        <w:numPr>
          <w:ilvl w:val="0"/>
          <w:numId w:val="6"/>
        </w:numPr>
        <w:spacing w:beforeLines="50" w:line="320" w:lineRule="exact"/>
        <w:rPr>
          <w:rFonts w:ascii="宋体" w:hAnsi="宋体"/>
          <w:color w:val="auto"/>
          <w:szCs w:val="21"/>
        </w:rPr>
      </w:pPr>
      <w:r>
        <w:rPr>
          <w:rFonts w:hint="eastAsia" w:ascii="宋体" w:hAnsi="宋体"/>
          <w:b/>
          <w:color w:val="auto"/>
          <w:sz w:val="24"/>
        </w:rPr>
        <w:t xml:space="preserve"> 特殊情形的规定：</w:t>
      </w:r>
    </w:p>
    <w:p>
      <w:pPr>
        <w:spacing w:beforeLines="50"/>
        <w:rPr>
          <w:rFonts w:ascii="宋体" w:hAnsi="宋体"/>
          <w:color w:val="auto"/>
          <w:szCs w:val="21"/>
        </w:rPr>
      </w:pPr>
      <w:r>
        <w:rPr>
          <w:rFonts w:hint="eastAsia" w:ascii="宋体" w:hAnsi="宋体"/>
          <w:color w:val="auto"/>
          <w:szCs w:val="21"/>
        </w:rPr>
        <w:t>41.1特殊情形是指：在规定的投标截止时间</w:t>
      </w:r>
      <w:r>
        <w:rPr>
          <w:rFonts w:hint="eastAsia" w:ascii="宋体" w:hAnsi="宋体"/>
          <w:color w:val="auto"/>
          <w:szCs w:val="21"/>
          <w:lang w:val="zh-CN"/>
        </w:rPr>
        <w:t>递交投标文件或者经评审实质性响应招标文件要求的供应商少于三家的情形。</w:t>
      </w:r>
    </w:p>
    <w:p>
      <w:pPr>
        <w:spacing w:beforeLines="50"/>
        <w:rPr>
          <w:rFonts w:ascii="宋体" w:hAnsi="宋体"/>
          <w:color w:val="auto"/>
          <w:szCs w:val="21"/>
          <w:lang w:val="zh-CN"/>
        </w:rPr>
      </w:pPr>
      <w:r>
        <w:rPr>
          <w:rFonts w:hint="eastAsia" w:ascii="宋体" w:hAnsi="宋体"/>
          <w:color w:val="auto"/>
          <w:szCs w:val="21"/>
        </w:rPr>
        <w:t>41.2</w:t>
      </w:r>
      <w:r>
        <w:rPr>
          <w:rFonts w:hint="eastAsia" w:ascii="宋体" w:hAnsi="宋体"/>
          <w:color w:val="auto"/>
          <w:szCs w:val="21"/>
          <w:lang w:val="zh-CN"/>
        </w:rPr>
        <w:t>供应商</w:t>
      </w:r>
      <w:r>
        <w:rPr>
          <w:rFonts w:hint="eastAsia" w:ascii="宋体" w:hAnsi="宋体"/>
          <w:color w:val="auto"/>
          <w:szCs w:val="21"/>
        </w:rPr>
        <w:t>有两家时，</w:t>
      </w:r>
      <w:r>
        <w:rPr>
          <w:rFonts w:hint="eastAsia" w:ascii="宋体" w:hAnsi="宋体"/>
          <w:color w:val="auto"/>
          <w:szCs w:val="21"/>
          <w:lang w:val="zh-CN"/>
        </w:rPr>
        <w:t>报校招标领导小组批准后在不变更供应商资格条件和采购需求的前提下与这两家供应商进行竞争性谈判。</w:t>
      </w:r>
    </w:p>
    <w:p>
      <w:pPr>
        <w:spacing w:beforeLines="50"/>
        <w:rPr>
          <w:rFonts w:ascii="宋体" w:hAnsi="宋体"/>
          <w:color w:val="auto"/>
          <w:szCs w:val="21"/>
        </w:rPr>
      </w:pPr>
      <w:r>
        <w:rPr>
          <w:rFonts w:hint="eastAsia" w:ascii="宋体" w:hAnsi="宋体"/>
          <w:color w:val="auto"/>
          <w:szCs w:val="21"/>
        </w:rPr>
        <w:t>41.3</w:t>
      </w:r>
      <w:r>
        <w:rPr>
          <w:rFonts w:hint="eastAsia" w:ascii="宋体" w:hAnsi="宋体"/>
          <w:color w:val="auto"/>
          <w:szCs w:val="21"/>
          <w:lang w:val="zh-CN"/>
        </w:rPr>
        <w:t>供应商</w:t>
      </w:r>
      <w:r>
        <w:rPr>
          <w:rFonts w:hint="eastAsia" w:ascii="宋体" w:hAnsi="宋体"/>
          <w:color w:val="auto"/>
          <w:szCs w:val="21"/>
        </w:rPr>
        <w:t>少于两家(不含两家)时，重新采购。</w:t>
      </w:r>
    </w:p>
    <w:p>
      <w:pPr>
        <w:spacing w:beforeLines="50"/>
        <w:rPr>
          <w:rFonts w:ascii="宋体" w:hAnsi="宋体"/>
          <w:color w:val="auto"/>
          <w:szCs w:val="21"/>
        </w:rPr>
      </w:pPr>
      <w:r>
        <w:rPr>
          <w:rFonts w:hint="eastAsia" w:ascii="宋体" w:hAnsi="宋体"/>
          <w:color w:val="auto"/>
          <w:szCs w:val="21"/>
        </w:rPr>
        <w:t>41.4谈判；供应商应按谈判小组的书面通知参加谈判、递交最终报价。</w:t>
      </w:r>
    </w:p>
    <w:p>
      <w:pPr>
        <w:spacing w:beforeLines="50"/>
        <w:rPr>
          <w:rFonts w:ascii="宋体" w:hAnsi="宋体"/>
          <w:color w:val="auto"/>
          <w:szCs w:val="21"/>
        </w:rPr>
      </w:pPr>
      <w:r>
        <w:rPr>
          <w:rFonts w:hint="eastAsia" w:ascii="宋体" w:hAnsi="宋体"/>
          <w:color w:val="auto"/>
          <w:szCs w:val="21"/>
        </w:rPr>
        <w:t>41.5评审标准：</w:t>
      </w:r>
    </w:p>
    <w:p>
      <w:pPr>
        <w:pStyle w:val="22"/>
        <w:adjustRightInd w:val="0"/>
        <w:snapToGrid w:val="0"/>
        <w:ind w:firstLine="420" w:firstLineChars="200"/>
        <w:jc w:val="left"/>
        <w:rPr>
          <w:rFonts w:hAnsi="宋体"/>
          <w:color w:val="auto"/>
          <w:szCs w:val="21"/>
        </w:rPr>
      </w:pPr>
      <w:r>
        <w:rPr>
          <w:rFonts w:hint="eastAsia" w:hAnsi="宋体"/>
          <w:color w:val="auto"/>
          <w:szCs w:val="21"/>
        </w:rPr>
        <w:t>（1）按满足采购需求，质量、服务相等且报价最低的原则，确定成交供应商。</w:t>
      </w:r>
    </w:p>
    <w:p>
      <w:pPr>
        <w:pStyle w:val="22"/>
        <w:adjustRightInd w:val="0"/>
        <w:snapToGrid w:val="0"/>
        <w:ind w:firstLine="420" w:firstLineChars="200"/>
        <w:jc w:val="left"/>
        <w:rPr>
          <w:rFonts w:hAnsi="宋体"/>
          <w:color w:val="auto"/>
          <w:szCs w:val="21"/>
        </w:rPr>
      </w:pPr>
      <w:r>
        <w:rPr>
          <w:rFonts w:hint="eastAsia" w:hAnsi="宋体"/>
          <w:color w:val="auto"/>
          <w:szCs w:val="21"/>
        </w:rPr>
        <w:t>（2）评审供应商报价时，按第二章“评标方法及标准”中关于最低评标价法的价格评审的规定评审。</w:t>
      </w:r>
    </w:p>
    <w:p>
      <w:pPr>
        <w:adjustRightInd w:val="0"/>
        <w:snapToGrid w:val="0"/>
        <w:spacing w:line="420" w:lineRule="atLeast"/>
        <w:rPr>
          <w:rFonts w:ascii="宋体" w:hAnsi="宋体"/>
          <w:bCs/>
          <w:color w:val="auto"/>
          <w:sz w:val="24"/>
          <w:szCs w:val="20"/>
        </w:rPr>
        <w:sectPr>
          <w:pgSz w:w="11906" w:h="16838"/>
          <w:pgMar w:top="907" w:right="1588" w:bottom="1219" w:left="1588" w:header="567" w:footer="454" w:gutter="0"/>
          <w:paperSrc w:first="1" w:other="1"/>
          <w:cols w:space="720" w:num="1"/>
          <w:docGrid w:linePitch="312" w:charSpace="0"/>
        </w:sectPr>
      </w:pPr>
    </w:p>
    <w:p>
      <w:pPr>
        <w:pStyle w:val="2"/>
        <w:adjustRightInd/>
        <w:spacing w:line="360" w:lineRule="auto"/>
        <w:ind w:left="113"/>
        <w:jc w:val="center"/>
        <w:textAlignment w:val="auto"/>
        <w:rPr>
          <w:rFonts w:ascii="宋体" w:hAnsi="宋体"/>
          <w:color w:val="auto"/>
        </w:rPr>
      </w:pPr>
      <w:bookmarkStart w:id="204" w:name="_Toc384934480"/>
      <w:r>
        <w:rPr>
          <w:rFonts w:hint="eastAsia" w:ascii="宋体" w:hAnsi="宋体"/>
          <w:color w:val="auto"/>
        </w:rPr>
        <w:t>第三章 合同条款</w:t>
      </w:r>
      <w:bookmarkEnd w:id="204"/>
    </w:p>
    <w:p>
      <w:pPr>
        <w:widowControl/>
        <w:jc w:val="center"/>
        <w:rPr>
          <w:rFonts w:ascii="宋体" w:hAnsi="宋体" w:cs="Arial"/>
          <w:b/>
          <w:color w:val="auto"/>
          <w:kern w:val="0"/>
          <w:sz w:val="44"/>
          <w:szCs w:val="44"/>
        </w:rPr>
      </w:pPr>
      <w:r>
        <w:rPr>
          <w:rFonts w:hint="eastAsia" w:ascii="宋体" w:hAnsi="宋体" w:cs="Arial"/>
          <w:b/>
          <w:color w:val="auto"/>
          <w:kern w:val="0"/>
          <w:sz w:val="44"/>
          <w:szCs w:val="44"/>
        </w:rPr>
        <w:t>湖南工程学院采购项目合同</w:t>
      </w:r>
    </w:p>
    <w:p>
      <w:pPr>
        <w:widowControl/>
        <w:spacing w:line="312" w:lineRule="auto"/>
        <w:jc w:val="right"/>
        <w:rPr>
          <w:rFonts w:ascii="宋体" w:hAnsi="宋体" w:cs="Arial"/>
          <w:color w:val="auto"/>
          <w:kern w:val="0"/>
          <w:sz w:val="18"/>
          <w:szCs w:val="18"/>
        </w:rPr>
      </w:pPr>
    </w:p>
    <w:p>
      <w:pPr>
        <w:adjustRightInd w:val="0"/>
        <w:snapToGrid w:val="0"/>
        <w:spacing w:line="400" w:lineRule="exact"/>
        <w:jc w:val="center"/>
        <w:rPr>
          <w:rFonts w:ascii="宋体" w:hAnsi="宋体"/>
          <w:color w:val="auto"/>
          <w:sz w:val="24"/>
        </w:rPr>
      </w:pPr>
      <w:r>
        <w:rPr>
          <w:rFonts w:hint="eastAsia" w:ascii="宋体" w:hAnsi="宋体"/>
          <w:color w:val="auto"/>
          <w:szCs w:val="21"/>
        </w:rPr>
        <w:t xml:space="preserve">                                   </w:t>
      </w:r>
      <w:r>
        <w:rPr>
          <w:rFonts w:hint="eastAsia" w:ascii="宋体" w:hAnsi="宋体"/>
          <w:color w:val="auto"/>
          <w:spacing w:val="6"/>
          <w:sz w:val="24"/>
        </w:rPr>
        <w:t>合同编号：</w:t>
      </w:r>
      <w:r>
        <w:rPr>
          <w:rFonts w:hint="eastAsia" w:ascii="宋体" w:hAnsi="宋体"/>
          <w:color w:val="auto"/>
          <w:spacing w:val="6"/>
          <w:sz w:val="24"/>
          <w:u w:val="single"/>
        </w:rPr>
        <w:t xml:space="preserve">        </w:t>
      </w:r>
      <w:r>
        <w:rPr>
          <w:rFonts w:hint="eastAsia" w:ascii="宋体" w:hAnsi="宋体"/>
          <w:color w:val="auto"/>
          <w:sz w:val="24"/>
        </w:rPr>
        <w:t xml:space="preserve"> </w:t>
      </w:r>
    </w:p>
    <w:p>
      <w:pPr>
        <w:adjustRightInd w:val="0"/>
        <w:snapToGrid w:val="0"/>
        <w:spacing w:line="320" w:lineRule="exact"/>
        <w:rPr>
          <w:rFonts w:ascii="宋体" w:hAnsi="宋体"/>
          <w:b/>
          <w:color w:val="auto"/>
          <w:sz w:val="30"/>
          <w:szCs w:val="30"/>
        </w:rPr>
      </w:pPr>
      <w:r>
        <w:rPr>
          <w:rFonts w:hint="eastAsia" w:ascii="宋体" w:hAnsi="宋体"/>
          <w:b/>
          <w:color w:val="auto"/>
          <w:sz w:val="30"/>
          <w:szCs w:val="30"/>
        </w:rPr>
        <w:t xml:space="preserve"> </w:t>
      </w:r>
    </w:p>
    <w:p>
      <w:pPr>
        <w:adjustRightInd w:val="0"/>
        <w:snapToGrid w:val="0"/>
        <w:spacing w:line="320" w:lineRule="exact"/>
        <w:rPr>
          <w:rFonts w:ascii="宋体" w:hAnsi="宋体"/>
          <w:b/>
          <w:color w:val="auto"/>
          <w:sz w:val="30"/>
          <w:szCs w:val="30"/>
        </w:rPr>
      </w:pPr>
    </w:p>
    <w:p>
      <w:pPr>
        <w:adjustRightInd w:val="0"/>
        <w:snapToGrid w:val="0"/>
        <w:spacing w:line="500" w:lineRule="exact"/>
        <w:rPr>
          <w:rFonts w:ascii="宋体" w:hAnsi="宋体"/>
          <w:b/>
          <w:color w:val="auto"/>
          <w:sz w:val="30"/>
          <w:szCs w:val="30"/>
        </w:rPr>
      </w:pPr>
      <w:r>
        <w:rPr>
          <w:rFonts w:hint="eastAsia" w:ascii="宋体" w:hAnsi="宋体"/>
          <w:b/>
          <w:bCs/>
          <w:color w:val="auto"/>
          <w:sz w:val="30"/>
          <w:szCs w:val="30"/>
        </w:rPr>
        <w:t>甲方</w:t>
      </w:r>
      <w:r>
        <w:rPr>
          <w:rFonts w:hint="eastAsia" w:ascii="宋体" w:hAnsi="宋体"/>
          <w:b/>
          <w:color w:val="auto"/>
          <w:sz w:val="30"/>
          <w:szCs w:val="30"/>
        </w:rPr>
        <w:t>：</w:t>
      </w:r>
      <w:r>
        <w:rPr>
          <w:rFonts w:hint="eastAsia" w:ascii="宋体" w:hAnsi="宋体"/>
          <w:b/>
          <w:bCs/>
          <w:color w:val="auto"/>
          <w:sz w:val="30"/>
          <w:szCs w:val="30"/>
          <w:u w:val="single"/>
        </w:rPr>
        <w:t>湖南工程学院</w:t>
      </w:r>
      <w:r>
        <w:rPr>
          <w:rFonts w:hint="eastAsia" w:ascii="宋体" w:hAnsi="宋体"/>
          <w:b/>
          <w:bCs/>
          <w:color w:val="auto"/>
          <w:sz w:val="30"/>
          <w:szCs w:val="30"/>
        </w:rPr>
        <w:t>（采购人）</w:t>
      </w:r>
    </w:p>
    <w:p>
      <w:pPr>
        <w:widowControl/>
        <w:spacing w:line="312" w:lineRule="auto"/>
        <w:rPr>
          <w:rFonts w:ascii="宋体" w:hAnsi="宋体" w:cs="Arial"/>
          <w:b/>
          <w:color w:val="auto"/>
          <w:kern w:val="0"/>
          <w:sz w:val="30"/>
          <w:szCs w:val="30"/>
        </w:rPr>
      </w:pPr>
      <w:r>
        <w:rPr>
          <w:rFonts w:hint="eastAsia" w:ascii="宋体" w:hAnsi="宋体"/>
          <w:b/>
          <w:bCs/>
          <w:color w:val="auto"/>
          <w:sz w:val="30"/>
          <w:szCs w:val="30"/>
        </w:rPr>
        <w:t>乙方</w:t>
      </w:r>
      <w:r>
        <w:rPr>
          <w:rFonts w:hint="eastAsia" w:ascii="宋体" w:hAnsi="宋体"/>
          <w:b/>
          <w:color w:val="auto"/>
          <w:sz w:val="30"/>
          <w:szCs w:val="30"/>
        </w:rPr>
        <w:t>：</w:t>
      </w:r>
      <w:r>
        <w:rPr>
          <w:rFonts w:hint="eastAsia" w:ascii="宋体" w:hAnsi="宋体"/>
          <w:b/>
          <w:color w:val="auto"/>
          <w:sz w:val="30"/>
          <w:szCs w:val="30"/>
          <w:u w:val="single"/>
        </w:rPr>
        <w:t xml:space="preserve">                  </w:t>
      </w:r>
      <w:r>
        <w:rPr>
          <w:rFonts w:hint="eastAsia" w:ascii="宋体" w:hAnsi="宋体"/>
          <w:b/>
          <w:color w:val="auto"/>
          <w:sz w:val="30"/>
          <w:szCs w:val="30"/>
        </w:rPr>
        <w:t>（供货商）</w:t>
      </w:r>
    </w:p>
    <w:p>
      <w:pPr>
        <w:widowControl/>
        <w:spacing w:line="360" w:lineRule="auto"/>
        <w:jc w:val="left"/>
        <w:rPr>
          <w:rFonts w:ascii="宋体" w:hAnsi="宋体" w:cs="Arial"/>
          <w:color w:val="auto"/>
          <w:kern w:val="0"/>
          <w:sz w:val="18"/>
          <w:szCs w:val="18"/>
        </w:rPr>
      </w:pPr>
      <w:r>
        <w:rPr>
          <w:rFonts w:hint="eastAsia" w:ascii="宋体" w:hAnsi="宋体" w:cs="Arial"/>
          <w:color w:val="auto"/>
          <w:kern w:val="0"/>
          <w:sz w:val="18"/>
          <w:szCs w:val="18"/>
        </w:rPr>
        <w:t>　　</w:t>
      </w:r>
    </w:p>
    <w:p>
      <w:pPr>
        <w:adjustRightInd w:val="0"/>
        <w:snapToGrid w:val="0"/>
        <w:spacing w:line="400" w:lineRule="exact"/>
        <w:ind w:firstLine="420" w:firstLineChars="200"/>
        <w:rPr>
          <w:rFonts w:ascii="宋体" w:hAnsi="宋体"/>
          <w:color w:val="auto"/>
          <w:szCs w:val="21"/>
        </w:rPr>
      </w:pPr>
      <w:r>
        <w:rPr>
          <w:rFonts w:hint="eastAsia" w:ascii="宋体" w:hAnsi="宋体"/>
          <w:color w:val="auto"/>
          <w:szCs w:val="21"/>
        </w:rPr>
        <w:t>为了保护甲、乙双方合法权益，根据《中华人民共和国合同法》、《中华人民共和国政府采购法》及其他有关法律、法规、规章，</w:t>
      </w:r>
      <w:r>
        <w:rPr>
          <w:rFonts w:hint="eastAsia" w:ascii="宋体" w:hAnsi="宋体" w:cs="Arial"/>
          <w:color w:val="auto"/>
          <w:kern w:val="0"/>
          <w:szCs w:val="21"/>
        </w:rPr>
        <w:t>经</w:t>
      </w:r>
      <w:r>
        <w:rPr>
          <w:rFonts w:hint="eastAsia" w:ascii="宋体" w:hAnsi="宋体"/>
          <w:color w:val="auto"/>
          <w:szCs w:val="21"/>
        </w:rPr>
        <w:t>友好协商</w:t>
      </w:r>
      <w:r>
        <w:rPr>
          <w:rFonts w:hint="eastAsia" w:ascii="宋体" w:hAnsi="宋体" w:cs="Arial"/>
          <w:color w:val="auto"/>
          <w:kern w:val="0"/>
          <w:szCs w:val="21"/>
        </w:rPr>
        <w:t>，</w:t>
      </w:r>
      <w:r>
        <w:rPr>
          <w:rFonts w:hint="eastAsia" w:ascii="宋体" w:hAnsi="宋体"/>
          <w:color w:val="auto"/>
          <w:szCs w:val="21"/>
        </w:rPr>
        <w:t>签订本合同协议书（以下简称合同）。</w:t>
      </w:r>
    </w:p>
    <w:p>
      <w:pPr>
        <w:adjustRightInd w:val="0"/>
        <w:snapToGrid w:val="0"/>
        <w:spacing w:line="400" w:lineRule="exact"/>
        <w:rPr>
          <w:rFonts w:ascii="宋体" w:hAnsi="宋体"/>
          <w:b/>
          <w:color w:val="auto"/>
          <w:sz w:val="24"/>
        </w:rPr>
      </w:pPr>
      <w:r>
        <w:rPr>
          <w:rFonts w:hint="eastAsia" w:ascii="宋体" w:hAnsi="宋体"/>
          <w:b/>
          <w:color w:val="auto"/>
          <w:sz w:val="24"/>
        </w:rPr>
        <w:t>一、项目管理信息</w:t>
      </w:r>
    </w:p>
    <w:p>
      <w:pPr>
        <w:adjustRightInd w:val="0"/>
        <w:snapToGrid w:val="0"/>
        <w:spacing w:line="400" w:lineRule="exact"/>
        <w:rPr>
          <w:rFonts w:ascii="宋体" w:hAnsi="宋体"/>
          <w:color w:val="auto"/>
          <w:szCs w:val="21"/>
        </w:rPr>
      </w:pPr>
      <w:r>
        <w:rPr>
          <w:rFonts w:hint="eastAsia" w:ascii="宋体" w:hAnsi="宋体"/>
          <w:color w:val="auto"/>
          <w:szCs w:val="21"/>
        </w:rPr>
        <w:t>1、项目名称：                                    2、招标编号：号</w:t>
      </w:r>
    </w:p>
    <w:p>
      <w:pPr>
        <w:adjustRightInd w:val="0"/>
        <w:snapToGrid w:val="0"/>
        <w:spacing w:line="400" w:lineRule="exact"/>
        <w:rPr>
          <w:rFonts w:ascii="宋体" w:hAnsi="宋体"/>
          <w:color w:val="auto"/>
          <w:szCs w:val="21"/>
        </w:rPr>
      </w:pPr>
      <w:r>
        <w:rPr>
          <w:rFonts w:hint="eastAsia" w:ascii="宋体" w:hAnsi="宋体"/>
          <w:color w:val="auto"/>
          <w:szCs w:val="21"/>
        </w:rPr>
        <w:t>3、采购方式：                                    4、开标时间：2018年月日</w:t>
      </w:r>
    </w:p>
    <w:p>
      <w:pPr>
        <w:spacing w:beforeLines="50" w:line="400" w:lineRule="exact"/>
        <w:rPr>
          <w:rFonts w:ascii="宋体" w:hAnsi="宋体"/>
          <w:b/>
          <w:color w:val="auto"/>
          <w:sz w:val="24"/>
        </w:rPr>
      </w:pPr>
      <w:r>
        <w:rPr>
          <w:rFonts w:hint="eastAsia" w:ascii="宋体" w:hAnsi="宋体"/>
          <w:b/>
          <w:color w:val="auto"/>
          <w:sz w:val="24"/>
        </w:rPr>
        <w:t>二、合同标的及金额</w:t>
      </w:r>
    </w:p>
    <w:tbl>
      <w:tblPr>
        <w:tblStyle w:val="47"/>
        <w:tblW w:w="8973" w:type="dxa"/>
        <w:jc w:val="center"/>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
      <w:tblGrid>
        <w:gridCol w:w="437"/>
        <w:gridCol w:w="1446"/>
        <w:gridCol w:w="1332"/>
        <w:gridCol w:w="1260"/>
        <w:gridCol w:w="540"/>
        <w:gridCol w:w="540"/>
        <w:gridCol w:w="859"/>
        <w:gridCol w:w="900"/>
        <w:gridCol w:w="837"/>
        <w:gridCol w:w="822"/>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Ex>
        <w:trPr>
          <w:trHeight w:val="439" w:hRule="atLeast"/>
          <w:jc w:val="center"/>
        </w:trPr>
        <w:tc>
          <w:tcPr>
            <w:tcW w:w="437" w:type="dxa"/>
            <w:tcBorders>
              <w:top w:val="double" w:color="auto" w:sz="4" w:space="0"/>
              <w:left w:val="double" w:color="auto" w:sz="4" w:space="0"/>
              <w:bottom w:val="single" w:color="000000" w:sz="12" w:space="0"/>
              <w:right w:val="single" w:color="auto" w:sz="4" w:space="0"/>
            </w:tcBorders>
            <w:vAlign w:val="center"/>
          </w:tcPr>
          <w:p>
            <w:pPr>
              <w:adjustRightInd w:val="0"/>
              <w:snapToGrid w:val="0"/>
              <w:spacing w:line="400" w:lineRule="exact"/>
              <w:jc w:val="center"/>
              <w:rPr>
                <w:rFonts w:ascii="宋体" w:hAnsi="宋体"/>
                <w:b/>
                <w:bCs/>
                <w:color w:val="auto"/>
                <w:szCs w:val="21"/>
              </w:rPr>
            </w:pPr>
            <w:r>
              <w:rPr>
                <w:rFonts w:hint="eastAsia" w:ascii="宋体" w:hAnsi="宋体"/>
                <w:b/>
                <w:bCs/>
                <w:color w:val="auto"/>
                <w:szCs w:val="21"/>
              </w:rPr>
              <w:t>序号</w:t>
            </w:r>
          </w:p>
        </w:tc>
        <w:tc>
          <w:tcPr>
            <w:tcW w:w="1446" w:type="dxa"/>
            <w:tcBorders>
              <w:top w:val="double" w:color="auto" w:sz="4" w:space="0"/>
              <w:left w:val="single" w:color="auto" w:sz="4" w:space="0"/>
              <w:bottom w:val="single" w:color="000000" w:sz="12" w:space="0"/>
              <w:right w:val="single" w:color="auto" w:sz="4" w:space="0"/>
            </w:tcBorders>
            <w:vAlign w:val="center"/>
          </w:tcPr>
          <w:p>
            <w:pPr>
              <w:adjustRightInd w:val="0"/>
              <w:snapToGrid w:val="0"/>
              <w:spacing w:line="400" w:lineRule="exact"/>
              <w:jc w:val="center"/>
              <w:rPr>
                <w:rFonts w:ascii="宋体" w:hAnsi="宋体"/>
                <w:b/>
                <w:bCs/>
                <w:color w:val="auto"/>
                <w:szCs w:val="21"/>
              </w:rPr>
            </w:pPr>
            <w:r>
              <w:rPr>
                <w:rFonts w:hint="eastAsia" w:ascii="宋体" w:hAnsi="宋体"/>
                <w:b/>
                <w:bCs/>
                <w:color w:val="auto"/>
                <w:szCs w:val="21"/>
              </w:rPr>
              <w:t>货物名称</w:t>
            </w:r>
          </w:p>
        </w:tc>
        <w:tc>
          <w:tcPr>
            <w:tcW w:w="1332" w:type="dxa"/>
            <w:tcBorders>
              <w:top w:val="double" w:color="auto" w:sz="4" w:space="0"/>
              <w:left w:val="single" w:color="auto" w:sz="4" w:space="0"/>
              <w:bottom w:val="single" w:color="000000" w:sz="12" w:space="0"/>
              <w:right w:val="single" w:color="000000" w:sz="6" w:space="0"/>
            </w:tcBorders>
            <w:vAlign w:val="center"/>
          </w:tcPr>
          <w:p>
            <w:pPr>
              <w:adjustRightInd w:val="0"/>
              <w:snapToGrid w:val="0"/>
              <w:spacing w:line="400" w:lineRule="exact"/>
              <w:jc w:val="center"/>
              <w:rPr>
                <w:rFonts w:ascii="宋体" w:hAnsi="宋体"/>
                <w:b/>
                <w:bCs/>
                <w:color w:val="auto"/>
                <w:szCs w:val="21"/>
              </w:rPr>
            </w:pPr>
            <w:r>
              <w:rPr>
                <w:rFonts w:hint="eastAsia" w:ascii="宋体" w:hAnsi="宋体"/>
                <w:b/>
                <w:bCs/>
                <w:color w:val="auto"/>
                <w:szCs w:val="21"/>
              </w:rPr>
              <w:t>型号规格</w:t>
            </w:r>
          </w:p>
        </w:tc>
        <w:tc>
          <w:tcPr>
            <w:tcW w:w="1260" w:type="dxa"/>
            <w:tcBorders>
              <w:top w:val="double" w:color="auto" w:sz="4" w:space="0"/>
              <w:left w:val="single" w:color="000000" w:sz="6" w:space="0"/>
              <w:bottom w:val="single" w:color="000000" w:sz="12" w:space="0"/>
              <w:right w:val="single" w:color="000000" w:sz="6" w:space="0"/>
            </w:tcBorders>
            <w:vAlign w:val="center"/>
          </w:tcPr>
          <w:p>
            <w:pPr>
              <w:adjustRightInd w:val="0"/>
              <w:snapToGrid w:val="0"/>
              <w:spacing w:line="400" w:lineRule="exact"/>
              <w:jc w:val="center"/>
              <w:rPr>
                <w:rFonts w:ascii="宋体" w:hAnsi="宋体"/>
                <w:b/>
                <w:bCs/>
                <w:color w:val="auto"/>
                <w:szCs w:val="21"/>
              </w:rPr>
            </w:pPr>
            <w:r>
              <w:rPr>
                <w:rFonts w:hint="eastAsia" w:ascii="宋体" w:hAnsi="宋体"/>
                <w:b/>
                <w:bCs/>
                <w:color w:val="auto"/>
                <w:szCs w:val="21"/>
              </w:rPr>
              <w:t>生产厂家</w:t>
            </w:r>
          </w:p>
        </w:tc>
        <w:tc>
          <w:tcPr>
            <w:tcW w:w="540" w:type="dxa"/>
            <w:tcBorders>
              <w:top w:val="double" w:color="auto" w:sz="4" w:space="0"/>
              <w:left w:val="single" w:color="000000" w:sz="6" w:space="0"/>
              <w:bottom w:val="single" w:color="000000" w:sz="12" w:space="0"/>
              <w:right w:val="single" w:color="000000" w:sz="6" w:space="0"/>
            </w:tcBorders>
            <w:vAlign w:val="center"/>
          </w:tcPr>
          <w:p>
            <w:pPr>
              <w:adjustRightInd w:val="0"/>
              <w:snapToGrid w:val="0"/>
              <w:spacing w:line="400" w:lineRule="exact"/>
              <w:jc w:val="center"/>
              <w:rPr>
                <w:rFonts w:ascii="宋体" w:hAnsi="宋体"/>
                <w:b/>
                <w:bCs/>
                <w:color w:val="auto"/>
                <w:szCs w:val="21"/>
              </w:rPr>
            </w:pPr>
            <w:r>
              <w:rPr>
                <w:rFonts w:hint="eastAsia" w:ascii="宋体" w:hAnsi="宋体"/>
                <w:b/>
                <w:bCs/>
                <w:color w:val="auto"/>
                <w:szCs w:val="21"/>
              </w:rPr>
              <w:t>单位</w:t>
            </w:r>
          </w:p>
        </w:tc>
        <w:tc>
          <w:tcPr>
            <w:tcW w:w="540" w:type="dxa"/>
            <w:tcBorders>
              <w:top w:val="double" w:color="auto" w:sz="4" w:space="0"/>
              <w:left w:val="single" w:color="000000" w:sz="6" w:space="0"/>
              <w:bottom w:val="single" w:color="000000" w:sz="12" w:space="0"/>
              <w:right w:val="single" w:color="000000" w:sz="6" w:space="0"/>
            </w:tcBorders>
            <w:vAlign w:val="center"/>
          </w:tcPr>
          <w:p>
            <w:pPr>
              <w:adjustRightInd w:val="0"/>
              <w:snapToGrid w:val="0"/>
              <w:spacing w:line="400" w:lineRule="exact"/>
              <w:jc w:val="center"/>
              <w:rPr>
                <w:rFonts w:ascii="宋体" w:hAnsi="宋体"/>
                <w:b/>
                <w:bCs/>
                <w:color w:val="auto"/>
                <w:szCs w:val="21"/>
              </w:rPr>
            </w:pPr>
            <w:r>
              <w:rPr>
                <w:rFonts w:hint="eastAsia" w:ascii="宋体" w:hAnsi="宋体"/>
                <w:b/>
                <w:bCs/>
                <w:color w:val="auto"/>
                <w:szCs w:val="21"/>
              </w:rPr>
              <w:t>数量</w:t>
            </w:r>
          </w:p>
        </w:tc>
        <w:tc>
          <w:tcPr>
            <w:tcW w:w="859" w:type="dxa"/>
            <w:tcBorders>
              <w:top w:val="double" w:color="auto" w:sz="4" w:space="0"/>
              <w:left w:val="single" w:color="000000" w:sz="6" w:space="0"/>
              <w:bottom w:val="single" w:color="000000" w:sz="12" w:space="0"/>
              <w:right w:val="single" w:color="000000" w:sz="6" w:space="0"/>
            </w:tcBorders>
            <w:vAlign w:val="center"/>
          </w:tcPr>
          <w:p>
            <w:pPr>
              <w:adjustRightInd w:val="0"/>
              <w:snapToGrid w:val="0"/>
              <w:spacing w:line="400" w:lineRule="exact"/>
              <w:jc w:val="center"/>
              <w:rPr>
                <w:rFonts w:ascii="宋体" w:hAnsi="宋体"/>
                <w:b/>
                <w:bCs/>
                <w:color w:val="auto"/>
                <w:szCs w:val="21"/>
              </w:rPr>
            </w:pPr>
            <w:r>
              <w:rPr>
                <w:rFonts w:hint="eastAsia" w:ascii="宋体" w:hAnsi="宋体"/>
                <w:b/>
                <w:bCs/>
                <w:color w:val="auto"/>
                <w:szCs w:val="21"/>
              </w:rPr>
              <w:t>单价</w:t>
            </w:r>
          </w:p>
          <w:p>
            <w:pPr>
              <w:adjustRightInd w:val="0"/>
              <w:snapToGrid w:val="0"/>
              <w:spacing w:line="400" w:lineRule="exact"/>
              <w:jc w:val="center"/>
              <w:rPr>
                <w:rFonts w:ascii="宋体" w:hAnsi="宋体"/>
                <w:b/>
                <w:bCs/>
                <w:color w:val="auto"/>
                <w:szCs w:val="21"/>
              </w:rPr>
            </w:pPr>
            <w:r>
              <w:rPr>
                <w:rFonts w:hint="eastAsia" w:ascii="宋体" w:hAnsi="宋体"/>
                <w:b/>
                <w:bCs/>
                <w:color w:val="auto"/>
                <w:szCs w:val="21"/>
              </w:rPr>
              <w:t>（元）</w:t>
            </w:r>
          </w:p>
        </w:tc>
        <w:tc>
          <w:tcPr>
            <w:tcW w:w="900" w:type="dxa"/>
            <w:tcBorders>
              <w:top w:val="double" w:color="auto" w:sz="4" w:space="0"/>
              <w:left w:val="single" w:color="000000" w:sz="6" w:space="0"/>
              <w:bottom w:val="single" w:color="000000" w:sz="12" w:space="0"/>
              <w:right w:val="single" w:color="auto" w:sz="4" w:space="0"/>
            </w:tcBorders>
            <w:vAlign w:val="center"/>
          </w:tcPr>
          <w:p>
            <w:pPr>
              <w:adjustRightInd w:val="0"/>
              <w:snapToGrid w:val="0"/>
              <w:spacing w:line="400" w:lineRule="exact"/>
              <w:jc w:val="center"/>
              <w:rPr>
                <w:rFonts w:ascii="宋体" w:hAnsi="宋体"/>
                <w:b/>
                <w:bCs/>
                <w:color w:val="auto"/>
                <w:szCs w:val="21"/>
              </w:rPr>
            </w:pPr>
            <w:r>
              <w:rPr>
                <w:rFonts w:hint="eastAsia" w:ascii="宋体" w:hAnsi="宋体"/>
                <w:b/>
                <w:bCs/>
                <w:color w:val="auto"/>
                <w:szCs w:val="21"/>
              </w:rPr>
              <w:t>总价</w:t>
            </w:r>
          </w:p>
          <w:p>
            <w:pPr>
              <w:adjustRightInd w:val="0"/>
              <w:snapToGrid w:val="0"/>
              <w:spacing w:line="400" w:lineRule="exact"/>
              <w:jc w:val="center"/>
              <w:rPr>
                <w:rFonts w:ascii="宋体" w:hAnsi="宋体"/>
                <w:b/>
                <w:bCs/>
                <w:color w:val="auto"/>
                <w:szCs w:val="21"/>
              </w:rPr>
            </w:pPr>
            <w:r>
              <w:rPr>
                <w:rFonts w:hint="eastAsia" w:ascii="宋体" w:hAnsi="宋体"/>
                <w:b/>
                <w:bCs/>
                <w:color w:val="auto"/>
                <w:szCs w:val="21"/>
              </w:rPr>
              <w:t>（元）</w:t>
            </w:r>
          </w:p>
        </w:tc>
        <w:tc>
          <w:tcPr>
            <w:tcW w:w="837" w:type="dxa"/>
            <w:tcBorders>
              <w:top w:val="double" w:color="auto" w:sz="4" w:space="0"/>
              <w:left w:val="single" w:color="auto" w:sz="4" w:space="0"/>
              <w:bottom w:val="single" w:color="000000" w:sz="12" w:space="0"/>
              <w:right w:val="single" w:color="auto" w:sz="4" w:space="0"/>
            </w:tcBorders>
            <w:vAlign w:val="center"/>
          </w:tcPr>
          <w:p>
            <w:pPr>
              <w:adjustRightInd w:val="0"/>
              <w:snapToGrid w:val="0"/>
              <w:spacing w:line="400" w:lineRule="exact"/>
              <w:jc w:val="center"/>
              <w:rPr>
                <w:rFonts w:ascii="宋体" w:hAnsi="宋体"/>
                <w:b/>
                <w:bCs/>
                <w:color w:val="auto"/>
                <w:szCs w:val="21"/>
              </w:rPr>
            </w:pPr>
            <w:r>
              <w:rPr>
                <w:rFonts w:hint="eastAsia" w:ascii="宋体" w:hAnsi="宋体"/>
                <w:b/>
                <w:bCs/>
                <w:color w:val="auto"/>
                <w:szCs w:val="21"/>
              </w:rPr>
              <w:t>质保期</w:t>
            </w:r>
          </w:p>
        </w:tc>
        <w:tc>
          <w:tcPr>
            <w:tcW w:w="822" w:type="dxa"/>
            <w:tcBorders>
              <w:top w:val="double" w:color="auto" w:sz="4" w:space="0"/>
              <w:left w:val="single" w:color="auto" w:sz="4" w:space="0"/>
              <w:bottom w:val="single" w:color="000000" w:sz="12" w:space="0"/>
              <w:right w:val="double" w:color="auto" w:sz="4" w:space="0"/>
            </w:tcBorders>
            <w:vAlign w:val="center"/>
          </w:tcPr>
          <w:p>
            <w:pPr>
              <w:adjustRightInd w:val="0"/>
              <w:snapToGrid w:val="0"/>
              <w:spacing w:line="400" w:lineRule="exact"/>
              <w:jc w:val="center"/>
              <w:rPr>
                <w:rFonts w:ascii="宋体" w:hAnsi="宋体"/>
                <w:b/>
                <w:bCs/>
                <w:color w:val="auto"/>
                <w:szCs w:val="21"/>
              </w:rPr>
            </w:pPr>
            <w:r>
              <w:rPr>
                <w:rFonts w:hint="eastAsia" w:ascii="宋体" w:hAnsi="宋体"/>
                <w:b/>
                <w:bCs/>
                <w:color w:val="auto"/>
                <w:szCs w:val="21"/>
              </w:rPr>
              <w:t>使用</w:t>
            </w:r>
          </w:p>
          <w:p>
            <w:pPr>
              <w:adjustRightInd w:val="0"/>
              <w:snapToGrid w:val="0"/>
              <w:spacing w:line="400" w:lineRule="exact"/>
              <w:jc w:val="center"/>
              <w:rPr>
                <w:rFonts w:ascii="宋体" w:hAnsi="宋体"/>
                <w:b/>
                <w:bCs/>
                <w:color w:val="auto"/>
                <w:szCs w:val="21"/>
              </w:rPr>
            </w:pPr>
            <w:r>
              <w:rPr>
                <w:rFonts w:hint="eastAsia" w:ascii="宋体" w:hAnsi="宋体"/>
                <w:b/>
                <w:bCs/>
                <w:color w:val="auto"/>
                <w:szCs w:val="21"/>
              </w:rPr>
              <w:t>单位</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Ex>
        <w:trPr>
          <w:jc w:val="center"/>
        </w:trPr>
        <w:tc>
          <w:tcPr>
            <w:tcW w:w="437" w:type="dxa"/>
            <w:tcBorders>
              <w:top w:val="nil"/>
              <w:left w:val="double" w:color="auto" w:sz="4" w:space="0"/>
              <w:bottom w:val="single" w:color="000000" w:sz="6" w:space="0"/>
              <w:right w:val="single" w:color="auto" w:sz="4" w:space="0"/>
            </w:tcBorders>
            <w:vAlign w:val="center"/>
          </w:tcPr>
          <w:p>
            <w:pPr>
              <w:adjustRightInd w:val="0"/>
              <w:snapToGrid w:val="0"/>
              <w:spacing w:line="400" w:lineRule="exact"/>
              <w:jc w:val="center"/>
              <w:rPr>
                <w:rFonts w:ascii="宋体" w:hAnsi="宋体"/>
                <w:b/>
                <w:color w:val="auto"/>
                <w:szCs w:val="21"/>
              </w:rPr>
            </w:pPr>
            <w:r>
              <w:rPr>
                <w:rFonts w:hint="eastAsia" w:ascii="宋体" w:hAnsi="宋体"/>
                <w:b/>
                <w:color w:val="auto"/>
                <w:szCs w:val="21"/>
              </w:rPr>
              <w:t>1</w:t>
            </w:r>
          </w:p>
        </w:tc>
        <w:tc>
          <w:tcPr>
            <w:tcW w:w="1446" w:type="dxa"/>
            <w:tcBorders>
              <w:top w:val="nil"/>
              <w:left w:val="single" w:color="auto" w:sz="4" w:space="0"/>
              <w:bottom w:val="single" w:color="000000" w:sz="6" w:space="0"/>
              <w:right w:val="single" w:color="auto" w:sz="4" w:space="0"/>
            </w:tcBorders>
            <w:vAlign w:val="center"/>
          </w:tcPr>
          <w:p>
            <w:pPr>
              <w:spacing w:line="400" w:lineRule="exact"/>
              <w:jc w:val="center"/>
              <w:rPr>
                <w:rFonts w:ascii="宋体" w:hAnsi="宋体"/>
                <w:b/>
                <w:color w:val="auto"/>
                <w:szCs w:val="21"/>
              </w:rPr>
            </w:pPr>
          </w:p>
        </w:tc>
        <w:tc>
          <w:tcPr>
            <w:tcW w:w="1332" w:type="dxa"/>
            <w:tcBorders>
              <w:top w:val="nil"/>
              <w:left w:val="single" w:color="auto" w:sz="4" w:space="0"/>
              <w:bottom w:val="single" w:color="000000" w:sz="6" w:space="0"/>
              <w:right w:val="single" w:color="000000" w:sz="6" w:space="0"/>
            </w:tcBorders>
            <w:vAlign w:val="center"/>
          </w:tcPr>
          <w:p>
            <w:pPr>
              <w:spacing w:line="400" w:lineRule="exact"/>
              <w:jc w:val="center"/>
              <w:rPr>
                <w:rFonts w:ascii="宋体" w:hAnsi="宋体"/>
                <w:b/>
                <w:color w:val="auto"/>
                <w:szCs w:val="21"/>
              </w:rPr>
            </w:pPr>
          </w:p>
        </w:tc>
        <w:tc>
          <w:tcPr>
            <w:tcW w:w="1260" w:type="dxa"/>
            <w:tcBorders>
              <w:top w:val="nil"/>
              <w:left w:val="single" w:color="000000" w:sz="6" w:space="0"/>
              <w:bottom w:val="single" w:color="000000" w:sz="6" w:space="0"/>
              <w:right w:val="single" w:color="000000" w:sz="6" w:space="0"/>
            </w:tcBorders>
            <w:vAlign w:val="center"/>
          </w:tcPr>
          <w:p>
            <w:pPr>
              <w:spacing w:line="400" w:lineRule="exact"/>
              <w:jc w:val="center"/>
              <w:rPr>
                <w:rFonts w:ascii="宋体" w:hAnsi="宋体"/>
                <w:color w:val="auto"/>
                <w:szCs w:val="21"/>
              </w:rPr>
            </w:pPr>
          </w:p>
        </w:tc>
        <w:tc>
          <w:tcPr>
            <w:tcW w:w="540" w:type="dxa"/>
            <w:tcBorders>
              <w:top w:val="nil"/>
              <w:left w:val="single" w:color="000000" w:sz="6" w:space="0"/>
              <w:bottom w:val="single" w:color="000000" w:sz="6" w:space="0"/>
              <w:right w:val="single" w:color="000000" w:sz="6" w:space="0"/>
            </w:tcBorders>
            <w:vAlign w:val="center"/>
          </w:tcPr>
          <w:p>
            <w:pPr>
              <w:spacing w:line="400" w:lineRule="exact"/>
              <w:jc w:val="center"/>
              <w:rPr>
                <w:rFonts w:ascii="宋体" w:hAnsi="宋体"/>
                <w:b/>
                <w:color w:val="auto"/>
                <w:szCs w:val="21"/>
              </w:rPr>
            </w:pPr>
          </w:p>
        </w:tc>
        <w:tc>
          <w:tcPr>
            <w:tcW w:w="540" w:type="dxa"/>
            <w:tcBorders>
              <w:top w:val="nil"/>
              <w:left w:val="single" w:color="000000" w:sz="6" w:space="0"/>
              <w:bottom w:val="single" w:color="000000" w:sz="6" w:space="0"/>
              <w:right w:val="single" w:color="000000" w:sz="6" w:space="0"/>
            </w:tcBorders>
            <w:vAlign w:val="center"/>
          </w:tcPr>
          <w:p>
            <w:pPr>
              <w:spacing w:line="400" w:lineRule="exact"/>
              <w:jc w:val="center"/>
              <w:rPr>
                <w:rFonts w:ascii="宋体" w:hAnsi="宋体"/>
                <w:b/>
                <w:color w:val="auto"/>
                <w:szCs w:val="21"/>
              </w:rPr>
            </w:pPr>
          </w:p>
        </w:tc>
        <w:tc>
          <w:tcPr>
            <w:tcW w:w="859" w:type="dxa"/>
            <w:tcBorders>
              <w:top w:val="nil"/>
              <w:left w:val="single" w:color="000000" w:sz="6" w:space="0"/>
              <w:bottom w:val="single" w:color="000000" w:sz="6" w:space="0"/>
              <w:right w:val="single" w:color="000000" w:sz="6" w:space="0"/>
            </w:tcBorders>
            <w:vAlign w:val="center"/>
          </w:tcPr>
          <w:p>
            <w:pPr>
              <w:spacing w:line="400" w:lineRule="exact"/>
              <w:jc w:val="center"/>
              <w:rPr>
                <w:rFonts w:ascii="宋体" w:hAnsi="宋体"/>
                <w:b/>
                <w:color w:val="auto"/>
                <w:szCs w:val="21"/>
              </w:rPr>
            </w:pPr>
          </w:p>
        </w:tc>
        <w:tc>
          <w:tcPr>
            <w:tcW w:w="900" w:type="dxa"/>
            <w:tcBorders>
              <w:top w:val="nil"/>
              <w:left w:val="single" w:color="000000" w:sz="6" w:space="0"/>
              <w:bottom w:val="single" w:color="000000" w:sz="6" w:space="0"/>
              <w:right w:val="single" w:color="auto" w:sz="4" w:space="0"/>
            </w:tcBorders>
            <w:vAlign w:val="center"/>
          </w:tcPr>
          <w:p>
            <w:pPr>
              <w:spacing w:line="400" w:lineRule="exact"/>
              <w:jc w:val="center"/>
              <w:rPr>
                <w:rFonts w:ascii="宋体" w:hAnsi="宋体"/>
                <w:b/>
                <w:color w:val="auto"/>
                <w:szCs w:val="21"/>
              </w:rPr>
            </w:pPr>
          </w:p>
        </w:tc>
        <w:tc>
          <w:tcPr>
            <w:tcW w:w="837" w:type="dxa"/>
            <w:tcBorders>
              <w:top w:val="nil"/>
              <w:left w:val="single" w:color="auto" w:sz="4" w:space="0"/>
              <w:bottom w:val="single" w:color="000000" w:sz="6" w:space="0"/>
              <w:right w:val="single" w:color="auto" w:sz="4" w:space="0"/>
            </w:tcBorders>
          </w:tcPr>
          <w:p>
            <w:pPr>
              <w:adjustRightInd w:val="0"/>
              <w:snapToGrid w:val="0"/>
              <w:spacing w:line="400" w:lineRule="exact"/>
              <w:jc w:val="center"/>
              <w:rPr>
                <w:rFonts w:ascii="宋体" w:hAnsi="宋体"/>
                <w:b/>
                <w:color w:val="auto"/>
                <w:szCs w:val="21"/>
              </w:rPr>
            </w:pPr>
          </w:p>
        </w:tc>
        <w:tc>
          <w:tcPr>
            <w:tcW w:w="822" w:type="dxa"/>
            <w:tcBorders>
              <w:top w:val="nil"/>
              <w:left w:val="single" w:color="auto" w:sz="4" w:space="0"/>
              <w:right w:val="double" w:color="auto" w:sz="4" w:space="0"/>
            </w:tcBorders>
            <w:vAlign w:val="center"/>
          </w:tcPr>
          <w:p>
            <w:pPr>
              <w:adjustRightInd w:val="0"/>
              <w:snapToGrid w:val="0"/>
              <w:spacing w:line="400" w:lineRule="exact"/>
              <w:jc w:val="center"/>
              <w:rPr>
                <w:rFonts w:ascii="宋体" w:hAnsi="宋体"/>
                <w:b/>
                <w:color w:val="auto"/>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Ex>
        <w:trPr>
          <w:jc w:val="center"/>
        </w:trPr>
        <w:tc>
          <w:tcPr>
            <w:tcW w:w="437" w:type="dxa"/>
            <w:tcBorders>
              <w:top w:val="single" w:color="000000" w:sz="6" w:space="0"/>
              <w:left w:val="double" w:color="auto" w:sz="4" w:space="0"/>
              <w:bottom w:val="single" w:color="000000" w:sz="6" w:space="0"/>
              <w:right w:val="single" w:color="auto" w:sz="4" w:space="0"/>
            </w:tcBorders>
            <w:vAlign w:val="center"/>
          </w:tcPr>
          <w:p>
            <w:pPr>
              <w:adjustRightInd w:val="0"/>
              <w:snapToGrid w:val="0"/>
              <w:spacing w:line="400" w:lineRule="exact"/>
              <w:jc w:val="center"/>
              <w:rPr>
                <w:rFonts w:ascii="宋体" w:hAnsi="宋体"/>
                <w:b/>
                <w:color w:val="auto"/>
                <w:szCs w:val="21"/>
              </w:rPr>
            </w:pPr>
            <w:r>
              <w:rPr>
                <w:rFonts w:hint="eastAsia" w:ascii="宋体" w:hAnsi="宋体"/>
                <w:b/>
                <w:color w:val="auto"/>
                <w:szCs w:val="21"/>
              </w:rPr>
              <w:t>2</w:t>
            </w:r>
          </w:p>
        </w:tc>
        <w:tc>
          <w:tcPr>
            <w:tcW w:w="1446" w:type="dxa"/>
            <w:tcBorders>
              <w:top w:val="single" w:color="000000" w:sz="6" w:space="0"/>
              <w:left w:val="single" w:color="auto" w:sz="4" w:space="0"/>
              <w:bottom w:val="single" w:color="000000" w:sz="6" w:space="0"/>
              <w:right w:val="single" w:color="auto" w:sz="4" w:space="0"/>
            </w:tcBorders>
            <w:vAlign w:val="center"/>
          </w:tcPr>
          <w:p>
            <w:pPr>
              <w:spacing w:line="400" w:lineRule="exact"/>
              <w:jc w:val="center"/>
              <w:rPr>
                <w:rFonts w:ascii="宋体" w:hAnsi="宋体"/>
                <w:b/>
                <w:color w:val="auto"/>
                <w:szCs w:val="21"/>
              </w:rPr>
            </w:pPr>
          </w:p>
        </w:tc>
        <w:tc>
          <w:tcPr>
            <w:tcW w:w="1332" w:type="dxa"/>
            <w:tcBorders>
              <w:top w:val="single" w:color="000000" w:sz="6" w:space="0"/>
              <w:left w:val="single" w:color="auto" w:sz="4" w:space="0"/>
              <w:bottom w:val="single" w:color="000000" w:sz="6" w:space="0"/>
              <w:right w:val="single" w:color="000000" w:sz="6" w:space="0"/>
            </w:tcBorders>
            <w:vAlign w:val="center"/>
          </w:tcPr>
          <w:p>
            <w:pPr>
              <w:spacing w:line="400" w:lineRule="exact"/>
              <w:jc w:val="center"/>
              <w:rPr>
                <w:rFonts w:ascii="宋体" w:hAnsi="宋体"/>
                <w:b/>
                <w:color w:val="auto"/>
                <w:szCs w:val="21"/>
              </w:rPr>
            </w:pPr>
          </w:p>
        </w:tc>
        <w:tc>
          <w:tcPr>
            <w:tcW w:w="1260" w:type="dxa"/>
            <w:tcBorders>
              <w:top w:val="single" w:color="000000" w:sz="6" w:space="0"/>
              <w:left w:val="single" w:color="000000" w:sz="6" w:space="0"/>
              <w:bottom w:val="single" w:color="000000" w:sz="6" w:space="0"/>
              <w:right w:val="single" w:color="000000" w:sz="6" w:space="0"/>
            </w:tcBorders>
            <w:vAlign w:val="center"/>
          </w:tcPr>
          <w:p>
            <w:pPr>
              <w:spacing w:line="400" w:lineRule="exact"/>
              <w:jc w:val="center"/>
              <w:rPr>
                <w:rFonts w:ascii="宋体" w:hAnsi="宋体"/>
                <w:color w:val="auto"/>
                <w:szCs w:val="21"/>
              </w:rPr>
            </w:pPr>
          </w:p>
        </w:tc>
        <w:tc>
          <w:tcPr>
            <w:tcW w:w="540" w:type="dxa"/>
            <w:tcBorders>
              <w:top w:val="single" w:color="000000" w:sz="6" w:space="0"/>
              <w:left w:val="single" w:color="000000" w:sz="6" w:space="0"/>
              <w:bottom w:val="single" w:color="000000" w:sz="6" w:space="0"/>
              <w:right w:val="single" w:color="000000" w:sz="6" w:space="0"/>
            </w:tcBorders>
            <w:vAlign w:val="center"/>
          </w:tcPr>
          <w:p>
            <w:pPr>
              <w:spacing w:line="400" w:lineRule="exact"/>
              <w:jc w:val="center"/>
              <w:rPr>
                <w:rFonts w:ascii="宋体" w:hAnsi="宋体"/>
                <w:b/>
                <w:color w:val="auto"/>
                <w:szCs w:val="21"/>
              </w:rPr>
            </w:pPr>
          </w:p>
        </w:tc>
        <w:tc>
          <w:tcPr>
            <w:tcW w:w="540" w:type="dxa"/>
            <w:tcBorders>
              <w:top w:val="single" w:color="000000" w:sz="6" w:space="0"/>
              <w:left w:val="single" w:color="000000" w:sz="6" w:space="0"/>
              <w:bottom w:val="single" w:color="000000" w:sz="6" w:space="0"/>
              <w:right w:val="single" w:color="000000" w:sz="6" w:space="0"/>
            </w:tcBorders>
            <w:vAlign w:val="center"/>
          </w:tcPr>
          <w:p>
            <w:pPr>
              <w:spacing w:line="400" w:lineRule="exact"/>
              <w:jc w:val="center"/>
              <w:rPr>
                <w:rFonts w:ascii="宋体" w:hAnsi="宋体"/>
                <w:b/>
                <w:color w:val="auto"/>
                <w:szCs w:val="21"/>
              </w:rPr>
            </w:pPr>
          </w:p>
        </w:tc>
        <w:tc>
          <w:tcPr>
            <w:tcW w:w="859" w:type="dxa"/>
            <w:tcBorders>
              <w:top w:val="single" w:color="000000" w:sz="6" w:space="0"/>
              <w:left w:val="single" w:color="000000" w:sz="6" w:space="0"/>
              <w:bottom w:val="single" w:color="000000" w:sz="6" w:space="0"/>
              <w:right w:val="single" w:color="000000" w:sz="6" w:space="0"/>
            </w:tcBorders>
            <w:vAlign w:val="center"/>
          </w:tcPr>
          <w:p>
            <w:pPr>
              <w:spacing w:line="400" w:lineRule="exact"/>
              <w:jc w:val="center"/>
              <w:rPr>
                <w:rFonts w:ascii="宋体" w:hAnsi="宋体"/>
                <w:b/>
                <w:color w:val="auto"/>
                <w:szCs w:val="21"/>
              </w:rPr>
            </w:pPr>
          </w:p>
        </w:tc>
        <w:tc>
          <w:tcPr>
            <w:tcW w:w="900" w:type="dxa"/>
            <w:tcBorders>
              <w:top w:val="single" w:color="000000" w:sz="6" w:space="0"/>
              <w:left w:val="single" w:color="000000" w:sz="6" w:space="0"/>
              <w:bottom w:val="single" w:color="000000" w:sz="6" w:space="0"/>
              <w:right w:val="single" w:color="auto" w:sz="4" w:space="0"/>
            </w:tcBorders>
            <w:vAlign w:val="center"/>
          </w:tcPr>
          <w:p>
            <w:pPr>
              <w:spacing w:line="400" w:lineRule="exact"/>
              <w:jc w:val="center"/>
              <w:rPr>
                <w:rFonts w:ascii="宋体" w:hAnsi="宋体"/>
                <w:b/>
                <w:color w:val="auto"/>
                <w:szCs w:val="21"/>
              </w:rPr>
            </w:pPr>
          </w:p>
        </w:tc>
        <w:tc>
          <w:tcPr>
            <w:tcW w:w="837" w:type="dxa"/>
            <w:tcBorders>
              <w:top w:val="single" w:color="000000" w:sz="6" w:space="0"/>
              <w:left w:val="single" w:color="auto" w:sz="4" w:space="0"/>
              <w:bottom w:val="single" w:color="000000" w:sz="6" w:space="0"/>
              <w:right w:val="single" w:color="auto" w:sz="4" w:space="0"/>
            </w:tcBorders>
          </w:tcPr>
          <w:p>
            <w:pPr>
              <w:adjustRightInd w:val="0"/>
              <w:snapToGrid w:val="0"/>
              <w:spacing w:line="400" w:lineRule="exact"/>
              <w:jc w:val="center"/>
              <w:rPr>
                <w:rFonts w:ascii="宋体" w:hAnsi="宋体"/>
                <w:b/>
                <w:color w:val="auto"/>
                <w:szCs w:val="21"/>
              </w:rPr>
            </w:pPr>
          </w:p>
        </w:tc>
        <w:tc>
          <w:tcPr>
            <w:tcW w:w="822" w:type="dxa"/>
            <w:tcBorders>
              <w:left w:val="single" w:color="auto" w:sz="4" w:space="0"/>
              <w:right w:val="double" w:color="auto" w:sz="4" w:space="0"/>
            </w:tcBorders>
          </w:tcPr>
          <w:p>
            <w:pPr>
              <w:adjustRightInd w:val="0"/>
              <w:snapToGrid w:val="0"/>
              <w:spacing w:line="400" w:lineRule="exact"/>
              <w:jc w:val="center"/>
              <w:rPr>
                <w:rFonts w:ascii="宋体" w:hAnsi="宋体"/>
                <w:b/>
                <w:color w:val="auto"/>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Ex>
        <w:trPr>
          <w:jc w:val="center"/>
        </w:trPr>
        <w:tc>
          <w:tcPr>
            <w:tcW w:w="437" w:type="dxa"/>
            <w:tcBorders>
              <w:top w:val="single" w:color="000000" w:sz="6" w:space="0"/>
              <w:left w:val="double" w:color="auto" w:sz="4" w:space="0"/>
              <w:bottom w:val="single" w:color="000000" w:sz="6" w:space="0"/>
              <w:right w:val="single" w:color="auto" w:sz="4" w:space="0"/>
            </w:tcBorders>
            <w:vAlign w:val="center"/>
          </w:tcPr>
          <w:p>
            <w:pPr>
              <w:adjustRightInd w:val="0"/>
              <w:snapToGrid w:val="0"/>
              <w:spacing w:line="400" w:lineRule="exact"/>
              <w:jc w:val="center"/>
              <w:rPr>
                <w:rFonts w:ascii="宋体" w:hAnsi="宋体"/>
                <w:b/>
                <w:color w:val="auto"/>
                <w:szCs w:val="21"/>
              </w:rPr>
            </w:pPr>
            <w:r>
              <w:rPr>
                <w:rFonts w:hint="eastAsia" w:ascii="宋体" w:hAnsi="宋体"/>
                <w:b/>
                <w:color w:val="auto"/>
                <w:szCs w:val="21"/>
              </w:rPr>
              <w:t>3</w:t>
            </w:r>
          </w:p>
        </w:tc>
        <w:tc>
          <w:tcPr>
            <w:tcW w:w="1446" w:type="dxa"/>
            <w:tcBorders>
              <w:top w:val="single" w:color="000000" w:sz="6" w:space="0"/>
              <w:left w:val="single" w:color="auto" w:sz="4" w:space="0"/>
              <w:bottom w:val="single" w:color="000000" w:sz="6" w:space="0"/>
              <w:right w:val="single" w:color="auto" w:sz="4" w:space="0"/>
            </w:tcBorders>
            <w:vAlign w:val="center"/>
          </w:tcPr>
          <w:p>
            <w:pPr>
              <w:spacing w:line="400" w:lineRule="exact"/>
              <w:jc w:val="center"/>
              <w:rPr>
                <w:rFonts w:ascii="宋体" w:hAnsi="宋体"/>
                <w:b/>
                <w:color w:val="auto"/>
                <w:szCs w:val="21"/>
              </w:rPr>
            </w:pPr>
          </w:p>
        </w:tc>
        <w:tc>
          <w:tcPr>
            <w:tcW w:w="1332" w:type="dxa"/>
            <w:tcBorders>
              <w:top w:val="single" w:color="000000" w:sz="6" w:space="0"/>
              <w:left w:val="single" w:color="auto" w:sz="4" w:space="0"/>
              <w:bottom w:val="single" w:color="000000" w:sz="6" w:space="0"/>
              <w:right w:val="single" w:color="000000" w:sz="6" w:space="0"/>
            </w:tcBorders>
            <w:vAlign w:val="center"/>
          </w:tcPr>
          <w:p>
            <w:pPr>
              <w:spacing w:line="400" w:lineRule="exact"/>
              <w:jc w:val="center"/>
              <w:rPr>
                <w:rFonts w:ascii="宋体" w:hAnsi="宋体"/>
                <w:b/>
                <w:color w:val="auto"/>
                <w:szCs w:val="21"/>
              </w:rPr>
            </w:pPr>
          </w:p>
        </w:tc>
        <w:tc>
          <w:tcPr>
            <w:tcW w:w="1260" w:type="dxa"/>
            <w:tcBorders>
              <w:top w:val="single" w:color="000000" w:sz="6" w:space="0"/>
              <w:left w:val="single" w:color="000000" w:sz="6" w:space="0"/>
              <w:bottom w:val="single" w:color="000000" w:sz="6" w:space="0"/>
              <w:right w:val="single" w:color="000000" w:sz="6" w:space="0"/>
            </w:tcBorders>
            <w:vAlign w:val="center"/>
          </w:tcPr>
          <w:p>
            <w:pPr>
              <w:spacing w:line="400" w:lineRule="exact"/>
              <w:jc w:val="center"/>
              <w:rPr>
                <w:rFonts w:ascii="宋体" w:hAnsi="宋体"/>
                <w:color w:val="auto"/>
                <w:szCs w:val="21"/>
              </w:rPr>
            </w:pPr>
          </w:p>
        </w:tc>
        <w:tc>
          <w:tcPr>
            <w:tcW w:w="540" w:type="dxa"/>
            <w:tcBorders>
              <w:top w:val="single" w:color="000000" w:sz="6" w:space="0"/>
              <w:left w:val="single" w:color="000000" w:sz="6" w:space="0"/>
              <w:bottom w:val="single" w:color="000000" w:sz="6" w:space="0"/>
              <w:right w:val="single" w:color="000000" w:sz="6" w:space="0"/>
            </w:tcBorders>
            <w:vAlign w:val="center"/>
          </w:tcPr>
          <w:p>
            <w:pPr>
              <w:spacing w:line="400" w:lineRule="exact"/>
              <w:jc w:val="center"/>
              <w:rPr>
                <w:rFonts w:ascii="宋体" w:hAnsi="宋体"/>
                <w:b/>
                <w:color w:val="auto"/>
                <w:szCs w:val="21"/>
              </w:rPr>
            </w:pPr>
          </w:p>
        </w:tc>
        <w:tc>
          <w:tcPr>
            <w:tcW w:w="540" w:type="dxa"/>
            <w:tcBorders>
              <w:top w:val="single" w:color="000000" w:sz="6" w:space="0"/>
              <w:left w:val="single" w:color="000000" w:sz="6" w:space="0"/>
              <w:bottom w:val="single" w:color="000000" w:sz="6" w:space="0"/>
              <w:right w:val="single" w:color="000000" w:sz="6" w:space="0"/>
            </w:tcBorders>
            <w:vAlign w:val="center"/>
          </w:tcPr>
          <w:p>
            <w:pPr>
              <w:spacing w:line="400" w:lineRule="exact"/>
              <w:jc w:val="center"/>
              <w:rPr>
                <w:rFonts w:ascii="宋体" w:hAnsi="宋体"/>
                <w:b/>
                <w:color w:val="auto"/>
                <w:szCs w:val="21"/>
              </w:rPr>
            </w:pPr>
          </w:p>
        </w:tc>
        <w:tc>
          <w:tcPr>
            <w:tcW w:w="859" w:type="dxa"/>
            <w:tcBorders>
              <w:top w:val="single" w:color="000000" w:sz="6" w:space="0"/>
              <w:left w:val="single" w:color="000000" w:sz="6" w:space="0"/>
              <w:bottom w:val="single" w:color="000000" w:sz="6" w:space="0"/>
              <w:right w:val="single" w:color="000000" w:sz="6" w:space="0"/>
            </w:tcBorders>
            <w:vAlign w:val="center"/>
          </w:tcPr>
          <w:p>
            <w:pPr>
              <w:spacing w:line="400" w:lineRule="exact"/>
              <w:jc w:val="center"/>
              <w:rPr>
                <w:rFonts w:ascii="宋体" w:hAnsi="宋体"/>
                <w:b/>
                <w:color w:val="auto"/>
                <w:szCs w:val="21"/>
              </w:rPr>
            </w:pPr>
          </w:p>
        </w:tc>
        <w:tc>
          <w:tcPr>
            <w:tcW w:w="900" w:type="dxa"/>
            <w:tcBorders>
              <w:top w:val="single" w:color="000000" w:sz="6" w:space="0"/>
              <w:left w:val="single" w:color="000000" w:sz="6" w:space="0"/>
              <w:bottom w:val="single" w:color="000000" w:sz="6" w:space="0"/>
              <w:right w:val="single" w:color="auto" w:sz="4" w:space="0"/>
            </w:tcBorders>
            <w:vAlign w:val="center"/>
          </w:tcPr>
          <w:p>
            <w:pPr>
              <w:spacing w:line="400" w:lineRule="exact"/>
              <w:jc w:val="center"/>
              <w:rPr>
                <w:rFonts w:ascii="宋体" w:hAnsi="宋体"/>
                <w:b/>
                <w:color w:val="auto"/>
                <w:szCs w:val="21"/>
              </w:rPr>
            </w:pPr>
          </w:p>
        </w:tc>
        <w:tc>
          <w:tcPr>
            <w:tcW w:w="837" w:type="dxa"/>
            <w:tcBorders>
              <w:top w:val="single" w:color="000000" w:sz="6" w:space="0"/>
              <w:left w:val="single" w:color="auto" w:sz="4" w:space="0"/>
              <w:bottom w:val="single" w:color="000000" w:sz="6" w:space="0"/>
              <w:right w:val="single" w:color="auto" w:sz="4" w:space="0"/>
            </w:tcBorders>
          </w:tcPr>
          <w:p>
            <w:pPr>
              <w:adjustRightInd w:val="0"/>
              <w:snapToGrid w:val="0"/>
              <w:spacing w:line="400" w:lineRule="exact"/>
              <w:jc w:val="center"/>
              <w:rPr>
                <w:rFonts w:ascii="宋体" w:hAnsi="宋体"/>
                <w:b/>
                <w:color w:val="auto"/>
                <w:szCs w:val="21"/>
              </w:rPr>
            </w:pPr>
          </w:p>
        </w:tc>
        <w:tc>
          <w:tcPr>
            <w:tcW w:w="822" w:type="dxa"/>
            <w:tcBorders>
              <w:left w:val="single" w:color="auto" w:sz="4" w:space="0"/>
              <w:right w:val="double" w:color="auto" w:sz="4" w:space="0"/>
            </w:tcBorders>
          </w:tcPr>
          <w:p>
            <w:pPr>
              <w:adjustRightInd w:val="0"/>
              <w:snapToGrid w:val="0"/>
              <w:spacing w:line="400" w:lineRule="exact"/>
              <w:jc w:val="center"/>
              <w:rPr>
                <w:rFonts w:ascii="宋体" w:hAnsi="宋体"/>
                <w:b/>
                <w:color w:val="auto"/>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Ex>
        <w:trPr>
          <w:jc w:val="center"/>
        </w:trPr>
        <w:tc>
          <w:tcPr>
            <w:tcW w:w="437" w:type="dxa"/>
            <w:tcBorders>
              <w:top w:val="single" w:color="000000" w:sz="6" w:space="0"/>
              <w:left w:val="double" w:color="auto" w:sz="4" w:space="0"/>
              <w:bottom w:val="single" w:color="000000" w:sz="6" w:space="0"/>
              <w:right w:val="single" w:color="auto" w:sz="4" w:space="0"/>
            </w:tcBorders>
            <w:vAlign w:val="center"/>
          </w:tcPr>
          <w:p>
            <w:pPr>
              <w:adjustRightInd w:val="0"/>
              <w:snapToGrid w:val="0"/>
              <w:spacing w:line="400" w:lineRule="exact"/>
              <w:jc w:val="center"/>
              <w:rPr>
                <w:rFonts w:ascii="宋体" w:hAnsi="宋体"/>
                <w:b/>
                <w:color w:val="auto"/>
                <w:szCs w:val="21"/>
              </w:rPr>
            </w:pPr>
            <w:r>
              <w:rPr>
                <w:rFonts w:hint="eastAsia" w:ascii="宋体" w:hAnsi="宋体"/>
                <w:b/>
                <w:color w:val="auto"/>
                <w:szCs w:val="21"/>
              </w:rPr>
              <w:t>4</w:t>
            </w:r>
          </w:p>
        </w:tc>
        <w:tc>
          <w:tcPr>
            <w:tcW w:w="1446" w:type="dxa"/>
            <w:tcBorders>
              <w:top w:val="single" w:color="000000" w:sz="6" w:space="0"/>
              <w:left w:val="single" w:color="auto" w:sz="4" w:space="0"/>
              <w:bottom w:val="single" w:color="000000" w:sz="6" w:space="0"/>
              <w:right w:val="single" w:color="auto" w:sz="4" w:space="0"/>
            </w:tcBorders>
            <w:vAlign w:val="center"/>
          </w:tcPr>
          <w:p>
            <w:pPr>
              <w:autoSpaceDE w:val="0"/>
              <w:autoSpaceDN w:val="0"/>
              <w:adjustRightInd w:val="0"/>
              <w:spacing w:line="400" w:lineRule="exact"/>
              <w:jc w:val="center"/>
              <w:rPr>
                <w:rFonts w:ascii="宋体" w:hAnsi="宋体"/>
                <w:b/>
                <w:color w:val="auto"/>
                <w:szCs w:val="21"/>
              </w:rPr>
            </w:pPr>
          </w:p>
        </w:tc>
        <w:tc>
          <w:tcPr>
            <w:tcW w:w="1332" w:type="dxa"/>
            <w:tcBorders>
              <w:top w:val="single" w:color="000000" w:sz="6" w:space="0"/>
              <w:left w:val="single" w:color="auto" w:sz="4" w:space="0"/>
              <w:bottom w:val="single" w:color="000000" w:sz="6" w:space="0"/>
              <w:right w:val="single" w:color="000000" w:sz="6" w:space="0"/>
            </w:tcBorders>
            <w:vAlign w:val="center"/>
          </w:tcPr>
          <w:p>
            <w:pPr>
              <w:spacing w:line="400" w:lineRule="exact"/>
              <w:jc w:val="center"/>
              <w:rPr>
                <w:rFonts w:ascii="宋体" w:hAnsi="宋体"/>
                <w:b/>
                <w:color w:val="auto"/>
                <w:szCs w:val="21"/>
              </w:rPr>
            </w:pPr>
          </w:p>
        </w:tc>
        <w:tc>
          <w:tcPr>
            <w:tcW w:w="1260" w:type="dxa"/>
            <w:tcBorders>
              <w:top w:val="single" w:color="000000" w:sz="6" w:space="0"/>
              <w:left w:val="single" w:color="000000" w:sz="6" w:space="0"/>
              <w:bottom w:val="single" w:color="000000" w:sz="6" w:space="0"/>
              <w:right w:val="single" w:color="000000" w:sz="6" w:space="0"/>
            </w:tcBorders>
            <w:vAlign w:val="center"/>
          </w:tcPr>
          <w:p>
            <w:pPr>
              <w:spacing w:line="400" w:lineRule="exact"/>
              <w:jc w:val="center"/>
              <w:rPr>
                <w:rFonts w:ascii="宋体" w:hAnsi="宋体"/>
                <w:b/>
                <w:color w:val="auto"/>
                <w:szCs w:val="21"/>
              </w:rPr>
            </w:pPr>
          </w:p>
        </w:tc>
        <w:tc>
          <w:tcPr>
            <w:tcW w:w="540" w:type="dxa"/>
            <w:tcBorders>
              <w:top w:val="single" w:color="000000" w:sz="6" w:space="0"/>
              <w:left w:val="single" w:color="000000" w:sz="6" w:space="0"/>
              <w:bottom w:val="single" w:color="000000" w:sz="6" w:space="0"/>
              <w:right w:val="single" w:color="000000" w:sz="6" w:space="0"/>
            </w:tcBorders>
            <w:vAlign w:val="center"/>
          </w:tcPr>
          <w:p>
            <w:pPr>
              <w:spacing w:line="400" w:lineRule="exact"/>
              <w:jc w:val="center"/>
              <w:rPr>
                <w:rFonts w:ascii="宋体" w:hAnsi="宋体"/>
                <w:b/>
                <w:color w:val="auto"/>
                <w:szCs w:val="21"/>
              </w:rPr>
            </w:pPr>
          </w:p>
        </w:tc>
        <w:tc>
          <w:tcPr>
            <w:tcW w:w="540" w:type="dxa"/>
            <w:tcBorders>
              <w:top w:val="single" w:color="000000" w:sz="6" w:space="0"/>
              <w:left w:val="single" w:color="000000" w:sz="6" w:space="0"/>
              <w:bottom w:val="single" w:color="000000" w:sz="6" w:space="0"/>
              <w:right w:val="single" w:color="000000" w:sz="6" w:space="0"/>
            </w:tcBorders>
            <w:vAlign w:val="center"/>
          </w:tcPr>
          <w:p>
            <w:pPr>
              <w:spacing w:line="400" w:lineRule="exact"/>
              <w:jc w:val="center"/>
              <w:rPr>
                <w:rFonts w:ascii="宋体" w:hAnsi="宋体"/>
                <w:b/>
                <w:color w:val="auto"/>
                <w:szCs w:val="21"/>
              </w:rPr>
            </w:pPr>
          </w:p>
        </w:tc>
        <w:tc>
          <w:tcPr>
            <w:tcW w:w="859" w:type="dxa"/>
            <w:tcBorders>
              <w:top w:val="single" w:color="000000" w:sz="6" w:space="0"/>
              <w:left w:val="single" w:color="000000" w:sz="6" w:space="0"/>
              <w:bottom w:val="single" w:color="000000" w:sz="6" w:space="0"/>
              <w:right w:val="single" w:color="000000" w:sz="6" w:space="0"/>
            </w:tcBorders>
            <w:vAlign w:val="center"/>
          </w:tcPr>
          <w:p>
            <w:pPr>
              <w:spacing w:line="400" w:lineRule="exact"/>
              <w:jc w:val="center"/>
              <w:rPr>
                <w:rFonts w:ascii="宋体" w:hAnsi="宋体"/>
                <w:b/>
                <w:color w:val="auto"/>
                <w:szCs w:val="21"/>
              </w:rPr>
            </w:pPr>
          </w:p>
        </w:tc>
        <w:tc>
          <w:tcPr>
            <w:tcW w:w="900" w:type="dxa"/>
            <w:tcBorders>
              <w:top w:val="single" w:color="000000" w:sz="6" w:space="0"/>
              <w:left w:val="single" w:color="000000" w:sz="6" w:space="0"/>
              <w:bottom w:val="single" w:color="000000" w:sz="6" w:space="0"/>
              <w:right w:val="single" w:color="auto" w:sz="4" w:space="0"/>
            </w:tcBorders>
            <w:vAlign w:val="center"/>
          </w:tcPr>
          <w:p>
            <w:pPr>
              <w:spacing w:line="400" w:lineRule="exact"/>
              <w:jc w:val="center"/>
              <w:rPr>
                <w:rFonts w:ascii="宋体" w:hAnsi="宋体"/>
                <w:b/>
                <w:color w:val="auto"/>
                <w:szCs w:val="21"/>
              </w:rPr>
            </w:pPr>
          </w:p>
        </w:tc>
        <w:tc>
          <w:tcPr>
            <w:tcW w:w="837" w:type="dxa"/>
            <w:tcBorders>
              <w:top w:val="single" w:color="000000" w:sz="6" w:space="0"/>
              <w:left w:val="single" w:color="auto" w:sz="4" w:space="0"/>
              <w:bottom w:val="single" w:color="000000" w:sz="6" w:space="0"/>
              <w:right w:val="single" w:color="auto" w:sz="4" w:space="0"/>
            </w:tcBorders>
          </w:tcPr>
          <w:p>
            <w:pPr>
              <w:adjustRightInd w:val="0"/>
              <w:snapToGrid w:val="0"/>
              <w:spacing w:line="400" w:lineRule="exact"/>
              <w:jc w:val="center"/>
              <w:rPr>
                <w:rFonts w:ascii="宋体" w:hAnsi="宋体"/>
                <w:b/>
                <w:color w:val="auto"/>
                <w:szCs w:val="21"/>
              </w:rPr>
            </w:pPr>
          </w:p>
        </w:tc>
        <w:tc>
          <w:tcPr>
            <w:tcW w:w="822" w:type="dxa"/>
            <w:tcBorders>
              <w:left w:val="single" w:color="auto" w:sz="4" w:space="0"/>
              <w:right w:val="double" w:color="auto" w:sz="4" w:space="0"/>
            </w:tcBorders>
          </w:tcPr>
          <w:p>
            <w:pPr>
              <w:adjustRightInd w:val="0"/>
              <w:snapToGrid w:val="0"/>
              <w:spacing w:line="400" w:lineRule="exact"/>
              <w:jc w:val="center"/>
              <w:rPr>
                <w:rFonts w:ascii="宋体" w:hAnsi="宋体"/>
                <w:b/>
                <w:color w:val="auto"/>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Ex>
        <w:trPr>
          <w:jc w:val="center"/>
        </w:trPr>
        <w:tc>
          <w:tcPr>
            <w:tcW w:w="437" w:type="dxa"/>
            <w:tcBorders>
              <w:top w:val="single" w:color="000000" w:sz="6" w:space="0"/>
              <w:left w:val="double" w:color="auto" w:sz="4" w:space="0"/>
              <w:bottom w:val="single" w:color="000000" w:sz="6" w:space="0"/>
              <w:right w:val="single" w:color="auto" w:sz="4" w:space="0"/>
            </w:tcBorders>
            <w:vAlign w:val="center"/>
          </w:tcPr>
          <w:p>
            <w:pPr>
              <w:adjustRightInd w:val="0"/>
              <w:snapToGrid w:val="0"/>
              <w:spacing w:line="400" w:lineRule="exact"/>
              <w:jc w:val="center"/>
              <w:rPr>
                <w:rFonts w:ascii="宋体" w:hAnsi="宋体"/>
                <w:b/>
                <w:color w:val="auto"/>
                <w:szCs w:val="21"/>
              </w:rPr>
            </w:pPr>
            <w:r>
              <w:rPr>
                <w:rFonts w:hint="eastAsia" w:ascii="宋体" w:hAnsi="宋体"/>
                <w:b/>
                <w:color w:val="auto"/>
                <w:szCs w:val="21"/>
              </w:rPr>
              <w:t>5</w:t>
            </w:r>
          </w:p>
        </w:tc>
        <w:tc>
          <w:tcPr>
            <w:tcW w:w="1446" w:type="dxa"/>
            <w:tcBorders>
              <w:top w:val="single" w:color="000000" w:sz="6" w:space="0"/>
              <w:left w:val="single" w:color="auto" w:sz="4" w:space="0"/>
              <w:bottom w:val="single" w:color="000000" w:sz="6" w:space="0"/>
              <w:right w:val="single" w:color="auto" w:sz="4" w:space="0"/>
            </w:tcBorders>
            <w:vAlign w:val="center"/>
          </w:tcPr>
          <w:p>
            <w:pPr>
              <w:autoSpaceDE w:val="0"/>
              <w:autoSpaceDN w:val="0"/>
              <w:adjustRightInd w:val="0"/>
              <w:spacing w:line="400" w:lineRule="exact"/>
              <w:jc w:val="center"/>
              <w:rPr>
                <w:rFonts w:ascii="宋体" w:hAnsi="宋体"/>
                <w:b/>
                <w:color w:val="auto"/>
                <w:szCs w:val="21"/>
              </w:rPr>
            </w:pPr>
          </w:p>
        </w:tc>
        <w:tc>
          <w:tcPr>
            <w:tcW w:w="1332" w:type="dxa"/>
            <w:tcBorders>
              <w:top w:val="single" w:color="000000" w:sz="6" w:space="0"/>
              <w:left w:val="single" w:color="auto" w:sz="4" w:space="0"/>
              <w:bottom w:val="single" w:color="000000" w:sz="6" w:space="0"/>
              <w:right w:val="single" w:color="000000" w:sz="6" w:space="0"/>
            </w:tcBorders>
            <w:vAlign w:val="center"/>
          </w:tcPr>
          <w:p>
            <w:pPr>
              <w:spacing w:line="400" w:lineRule="exact"/>
              <w:jc w:val="center"/>
              <w:rPr>
                <w:rFonts w:ascii="宋体" w:hAnsi="宋体"/>
                <w:b/>
                <w:color w:val="auto"/>
                <w:szCs w:val="21"/>
              </w:rPr>
            </w:pPr>
          </w:p>
        </w:tc>
        <w:tc>
          <w:tcPr>
            <w:tcW w:w="1260" w:type="dxa"/>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spacing w:line="400" w:lineRule="exact"/>
              <w:jc w:val="center"/>
              <w:rPr>
                <w:rFonts w:ascii="宋体" w:hAnsi="宋体"/>
                <w:color w:val="auto"/>
                <w:szCs w:val="21"/>
              </w:rPr>
            </w:pPr>
          </w:p>
        </w:tc>
        <w:tc>
          <w:tcPr>
            <w:tcW w:w="540" w:type="dxa"/>
            <w:tcBorders>
              <w:top w:val="single" w:color="000000" w:sz="6" w:space="0"/>
              <w:left w:val="single" w:color="000000" w:sz="6" w:space="0"/>
              <w:bottom w:val="single" w:color="000000" w:sz="6" w:space="0"/>
              <w:right w:val="single" w:color="000000" w:sz="6" w:space="0"/>
            </w:tcBorders>
            <w:vAlign w:val="center"/>
          </w:tcPr>
          <w:p>
            <w:pPr>
              <w:spacing w:line="400" w:lineRule="exact"/>
              <w:jc w:val="center"/>
              <w:rPr>
                <w:rFonts w:ascii="宋体" w:hAnsi="宋体"/>
                <w:b/>
                <w:color w:val="auto"/>
                <w:szCs w:val="21"/>
              </w:rPr>
            </w:pPr>
          </w:p>
        </w:tc>
        <w:tc>
          <w:tcPr>
            <w:tcW w:w="540" w:type="dxa"/>
            <w:tcBorders>
              <w:top w:val="single" w:color="000000" w:sz="6" w:space="0"/>
              <w:left w:val="single" w:color="000000" w:sz="6" w:space="0"/>
              <w:bottom w:val="single" w:color="000000" w:sz="6" w:space="0"/>
              <w:right w:val="single" w:color="000000" w:sz="6" w:space="0"/>
            </w:tcBorders>
            <w:vAlign w:val="center"/>
          </w:tcPr>
          <w:p>
            <w:pPr>
              <w:spacing w:line="400" w:lineRule="exact"/>
              <w:jc w:val="center"/>
              <w:rPr>
                <w:rFonts w:ascii="宋体" w:hAnsi="宋体"/>
                <w:b/>
                <w:color w:val="auto"/>
                <w:szCs w:val="21"/>
              </w:rPr>
            </w:pPr>
          </w:p>
        </w:tc>
        <w:tc>
          <w:tcPr>
            <w:tcW w:w="859" w:type="dxa"/>
            <w:tcBorders>
              <w:top w:val="single" w:color="000000" w:sz="6" w:space="0"/>
              <w:left w:val="single" w:color="000000" w:sz="6" w:space="0"/>
              <w:bottom w:val="single" w:color="000000" w:sz="6" w:space="0"/>
              <w:right w:val="single" w:color="000000" w:sz="6" w:space="0"/>
            </w:tcBorders>
            <w:vAlign w:val="center"/>
          </w:tcPr>
          <w:p>
            <w:pPr>
              <w:spacing w:line="400" w:lineRule="exact"/>
              <w:jc w:val="center"/>
              <w:rPr>
                <w:rFonts w:ascii="宋体" w:hAnsi="宋体"/>
                <w:b/>
                <w:color w:val="auto"/>
                <w:szCs w:val="21"/>
              </w:rPr>
            </w:pPr>
          </w:p>
        </w:tc>
        <w:tc>
          <w:tcPr>
            <w:tcW w:w="900" w:type="dxa"/>
            <w:tcBorders>
              <w:top w:val="single" w:color="000000" w:sz="6" w:space="0"/>
              <w:left w:val="single" w:color="000000" w:sz="6" w:space="0"/>
              <w:bottom w:val="single" w:color="000000" w:sz="6" w:space="0"/>
              <w:right w:val="single" w:color="auto" w:sz="4" w:space="0"/>
            </w:tcBorders>
            <w:vAlign w:val="center"/>
          </w:tcPr>
          <w:p>
            <w:pPr>
              <w:spacing w:line="400" w:lineRule="exact"/>
              <w:jc w:val="center"/>
              <w:rPr>
                <w:rFonts w:ascii="宋体" w:hAnsi="宋体"/>
                <w:b/>
                <w:color w:val="auto"/>
                <w:szCs w:val="21"/>
              </w:rPr>
            </w:pPr>
          </w:p>
        </w:tc>
        <w:tc>
          <w:tcPr>
            <w:tcW w:w="837" w:type="dxa"/>
            <w:tcBorders>
              <w:top w:val="single" w:color="000000" w:sz="6" w:space="0"/>
              <w:left w:val="single" w:color="auto" w:sz="4" w:space="0"/>
              <w:bottom w:val="single" w:color="000000" w:sz="6" w:space="0"/>
              <w:right w:val="single" w:color="auto" w:sz="4" w:space="0"/>
            </w:tcBorders>
          </w:tcPr>
          <w:p>
            <w:pPr>
              <w:adjustRightInd w:val="0"/>
              <w:snapToGrid w:val="0"/>
              <w:spacing w:line="400" w:lineRule="exact"/>
              <w:jc w:val="center"/>
              <w:rPr>
                <w:rFonts w:ascii="宋体" w:hAnsi="宋体"/>
                <w:b/>
                <w:color w:val="auto"/>
                <w:szCs w:val="21"/>
              </w:rPr>
            </w:pPr>
          </w:p>
        </w:tc>
        <w:tc>
          <w:tcPr>
            <w:tcW w:w="822" w:type="dxa"/>
            <w:tcBorders>
              <w:left w:val="single" w:color="auto" w:sz="4" w:space="0"/>
              <w:right w:val="double" w:color="auto" w:sz="4" w:space="0"/>
            </w:tcBorders>
          </w:tcPr>
          <w:p>
            <w:pPr>
              <w:adjustRightInd w:val="0"/>
              <w:snapToGrid w:val="0"/>
              <w:spacing w:line="400" w:lineRule="exact"/>
              <w:jc w:val="center"/>
              <w:rPr>
                <w:rFonts w:ascii="宋体" w:hAnsi="宋体"/>
                <w:b/>
                <w:color w:val="auto"/>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Ex>
        <w:trPr>
          <w:jc w:val="center"/>
        </w:trPr>
        <w:tc>
          <w:tcPr>
            <w:tcW w:w="437" w:type="dxa"/>
            <w:tcBorders>
              <w:top w:val="single" w:color="000000" w:sz="6" w:space="0"/>
              <w:left w:val="double" w:color="auto" w:sz="4" w:space="0"/>
              <w:bottom w:val="single" w:color="000000" w:sz="6" w:space="0"/>
              <w:right w:val="single" w:color="auto" w:sz="4" w:space="0"/>
            </w:tcBorders>
            <w:vAlign w:val="center"/>
          </w:tcPr>
          <w:p>
            <w:pPr>
              <w:adjustRightInd w:val="0"/>
              <w:snapToGrid w:val="0"/>
              <w:spacing w:line="400" w:lineRule="exact"/>
              <w:jc w:val="center"/>
              <w:rPr>
                <w:rFonts w:ascii="宋体" w:hAnsi="宋体"/>
                <w:b/>
                <w:color w:val="auto"/>
                <w:szCs w:val="21"/>
              </w:rPr>
            </w:pPr>
            <w:r>
              <w:rPr>
                <w:rFonts w:hint="eastAsia" w:ascii="宋体" w:hAnsi="宋体"/>
                <w:b/>
                <w:color w:val="auto"/>
                <w:szCs w:val="21"/>
              </w:rPr>
              <w:t>6</w:t>
            </w:r>
          </w:p>
        </w:tc>
        <w:tc>
          <w:tcPr>
            <w:tcW w:w="1446" w:type="dxa"/>
            <w:tcBorders>
              <w:top w:val="single" w:color="000000" w:sz="6" w:space="0"/>
              <w:left w:val="single" w:color="auto" w:sz="4" w:space="0"/>
              <w:bottom w:val="single" w:color="000000" w:sz="6" w:space="0"/>
              <w:right w:val="single" w:color="auto" w:sz="4" w:space="0"/>
            </w:tcBorders>
            <w:vAlign w:val="center"/>
          </w:tcPr>
          <w:p>
            <w:pPr>
              <w:spacing w:line="400" w:lineRule="exact"/>
              <w:jc w:val="center"/>
              <w:rPr>
                <w:rFonts w:ascii="宋体" w:hAnsi="宋体"/>
                <w:b/>
                <w:color w:val="auto"/>
                <w:szCs w:val="21"/>
              </w:rPr>
            </w:pPr>
          </w:p>
        </w:tc>
        <w:tc>
          <w:tcPr>
            <w:tcW w:w="1332" w:type="dxa"/>
            <w:tcBorders>
              <w:top w:val="single" w:color="000000" w:sz="6" w:space="0"/>
              <w:left w:val="single" w:color="auto" w:sz="4" w:space="0"/>
              <w:bottom w:val="single" w:color="000000" w:sz="6" w:space="0"/>
              <w:right w:val="single" w:color="000000" w:sz="6" w:space="0"/>
            </w:tcBorders>
            <w:vAlign w:val="center"/>
          </w:tcPr>
          <w:p>
            <w:pPr>
              <w:spacing w:line="400" w:lineRule="exact"/>
              <w:jc w:val="center"/>
              <w:rPr>
                <w:rFonts w:ascii="宋体" w:hAnsi="宋体"/>
                <w:b/>
                <w:color w:val="auto"/>
                <w:szCs w:val="21"/>
              </w:rPr>
            </w:pPr>
          </w:p>
        </w:tc>
        <w:tc>
          <w:tcPr>
            <w:tcW w:w="1260" w:type="dxa"/>
            <w:tcBorders>
              <w:top w:val="single" w:color="000000" w:sz="6" w:space="0"/>
              <w:left w:val="single" w:color="000000" w:sz="6" w:space="0"/>
              <w:bottom w:val="single" w:color="000000" w:sz="6" w:space="0"/>
              <w:right w:val="single" w:color="000000" w:sz="6" w:space="0"/>
            </w:tcBorders>
            <w:vAlign w:val="center"/>
          </w:tcPr>
          <w:p>
            <w:pPr>
              <w:spacing w:line="400" w:lineRule="exact"/>
              <w:jc w:val="center"/>
              <w:rPr>
                <w:rFonts w:ascii="宋体" w:hAnsi="宋体"/>
                <w:color w:val="auto"/>
                <w:szCs w:val="21"/>
              </w:rPr>
            </w:pPr>
          </w:p>
        </w:tc>
        <w:tc>
          <w:tcPr>
            <w:tcW w:w="540" w:type="dxa"/>
            <w:tcBorders>
              <w:top w:val="single" w:color="000000" w:sz="6" w:space="0"/>
              <w:left w:val="single" w:color="000000" w:sz="6" w:space="0"/>
              <w:bottom w:val="single" w:color="000000" w:sz="6" w:space="0"/>
              <w:right w:val="single" w:color="000000" w:sz="6" w:space="0"/>
            </w:tcBorders>
            <w:vAlign w:val="center"/>
          </w:tcPr>
          <w:p>
            <w:pPr>
              <w:spacing w:line="400" w:lineRule="exact"/>
              <w:jc w:val="center"/>
              <w:rPr>
                <w:rFonts w:ascii="宋体" w:hAnsi="宋体"/>
                <w:b/>
                <w:color w:val="auto"/>
                <w:szCs w:val="21"/>
              </w:rPr>
            </w:pPr>
          </w:p>
        </w:tc>
        <w:tc>
          <w:tcPr>
            <w:tcW w:w="540" w:type="dxa"/>
            <w:tcBorders>
              <w:top w:val="single" w:color="000000" w:sz="6" w:space="0"/>
              <w:left w:val="single" w:color="000000" w:sz="6" w:space="0"/>
              <w:bottom w:val="single" w:color="000000" w:sz="6" w:space="0"/>
              <w:right w:val="single" w:color="000000" w:sz="6" w:space="0"/>
            </w:tcBorders>
            <w:vAlign w:val="center"/>
          </w:tcPr>
          <w:p>
            <w:pPr>
              <w:spacing w:line="400" w:lineRule="exact"/>
              <w:jc w:val="center"/>
              <w:rPr>
                <w:rFonts w:ascii="宋体" w:hAnsi="宋体"/>
                <w:b/>
                <w:color w:val="auto"/>
                <w:szCs w:val="21"/>
              </w:rPr>
            </w:pPr>
          </w:p>
        </w:tc>
        <w:tc>
          <w:tcPr>
            <w:tcW w:w="859" w:type="dxa"/>
            <w:tcBorders>
              <w:top w:val="single" w:color="000000" w:sz="6" w:space="0"/>
              <w:left w:val="single" w:color="000000" w:sz="6" w:space="0"/>
              <w:bottom w:val="single" w:color="000000" w:sz="6" w:space="0"/>
              <w:right w:val="single" w:color="000000" w:sz="6" w:space="0"/>
            </w:tcBorders>
            <w:vAlign w:val="center"/>
          </w:tcPr>
          <w:p>
            <w:pPr>
              <w:spacing w:line="400" w:lineRule="exact"/>
              <w:jc w:val="center"/>
              <w:rPr>
                <w:rFonts w:ascii="宋体" w:hAnsi="宋体"/>
                <w:b/>
                <w:color w:val="auto"/>
                <w:szCs w:val="21"/>
              </w:rPr>
            </w:pPr>
          </w:p>
        </w:tc>
        <w:tc>
          <w:tcPr>
            <w:tcW w:w="900" w:type="dxa"/>
            <w:tcBorders>
              <w:top w:val="single" w:color="000000" w:sz="6" w:space="0"/>
              <w:left w:val="single" w:color="000000" w:sz="6" w:space="0"/>
              <w:bottom w:val="single" w:color="000000" w:sz="6" w:space="0"/>
              <w:right w:val="single" w:color="auto" w:sz="4" w:space="0"/>
            </w:tcBorders>
            <w:vAlign w:val="center"/>
          </w:tcPr>
          <w:p>
            <w:pPr>
              <w:spacing w:line="400" w:lineRule="exact"/>
              <w:jc w:val="center"/>
              <w:rPr>
                <w:rFonts w:ascii="宋体" w:hAnsi="宋体"/>
                <w:b/>
                <w:color w:val="auto"/>
                <w:szCs w:val="21"/>
              </w:rPr>
            </w:pPr>
          </w:p>
        </w:tc>
        <w:tc>
          <w:tcPr>
            <w:tcW w:w="837" w:type="dxa"/>
            <w:tcBorders>
              <w:top w:val="single" w:color="000000" w:sz="6" w:space="0"/>
              <w:left w:val="single" w:color="auto" w:sz="4" w:space="0"/>
              <w:bottom w:val="single" w:color="000000" w:sz="6" w:space="0"/>
              <w:right w:val="single" w:color="auto" w:sz="4" w:space="0"/>
            </w:tcBorders>
          </w:tcPr>
          <w:p>
            <w:pPr>
              <w:adjustRightInd w:val="0"/>
              <w:snapToGrid w:val="0"/>
              <w:spacing w:line="400" w:lineRule="exact"/>
              <w:jc w:val="center"/>
              <w:rPr>
                <w:rFonts w:ascii="宋体" w:hAnsi="宋体"/>
                <w:b/>
                <w:color w:val="auto"/>
                <w:szCs w:val="21"/>
              </w:rPr>
            </w:pPr>
          </w:p>
        </w:tc>
        <w:tc>
          <w:tcPr>
            <w:tcW w:w="822" w:type="dxa"/>
            <w:tcBorders>
              <w:left w:val="single" w:color="auto" w:sz="4" w:space="0"/>
              <w:bottom w:val="single" w:color="000000" w:sz="6" w:space="0"/>
              <w:right w:val="double" w:color="auto" w:sz="4" w:space="0"/>
            </w:tcBorders>
          </w:tcPr>
          <w:p>
            <w:pPr>
              <w:adjustRightInd w:val="0"/>
              <w:snapToGrid w:val="0"/>
              <w:spacing w:line="400" w:lineRule="exact"/>
              <w:jc w:val="center"/>
              <w:rPr>
                <w:rFonts w:ascii="宋体" w:hAnsi="宋体"/>
                <w:b/>
                <w:color w:val="auto"/>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Ex>
        <w:trPr>
          <w:jc w:val="center"/>
        </w:trPr>
        <w:tc>
          <w:tcPr>
            <w:tcW w:w="8973" w:type="dxa"/>
            <w:gridSpan w:val="10"/>
            <w:tcBorders>
              <w:top w:val="single" w:color="000000" w:sz="6" w:space="0"/>
              <w:left w:val="double" w:color="auto" w:sz="4" w:space="0"/>
              <w:bottom w:val="double" w:color="auto" w:sz="4" w:space="0"/>
              <w:right w:val="double" w:color="auto" w:sz="4" w:space="0"/>
            </w:tcBorders>
            <w:vAlign w:val="center"/>
          </w:tcPr>
          <w:p>
            <w:pPr>
              <w:adjustRightInd w:val="0"/>
              <w:snapToGrid w:val="0"/>
              <w:spacing w:line="400" w:lineRule="exact"/>
              <w:ind w:firstLine="105" w:firstLineChars="50"/>
              <w:rPr>
                <w:rFonts w:ascii="宋体" w:hAnsi="宋体"/>
                <w:color w:val="auto"/>
                <w:szCs w:val="21"/>
              </w:rPr>
            </w:pPr>
            <w:r>
              <w:rPr>
                <w:rFonts w:hint="eastAsia" w:ascii="宋体" w:hAnsi="宋体"/>
                <w:b/>
                <w:color w:val="auto"/>
                <w:szCs w:val="21"/>
              </w:rPr>
              <w:t>合计（小写）：                  元</w:t>
            </w:r>
          </w:p>
        </w:tc>
      </w:tr>
    </w:tbl>
    <w:p>
      <w:pPr>
        <w:widowControl/>
        <w:spacing w:line="400" w:lineRule="exact"/>
        <w:ind w:firstLine="420" w:firstLineChars="200"/>
        <w:jc w:val="left"/>
        <w:rPr>
          <w:rFonts w:ascii="宋体" w:hAnsi="宋体" w:cs="Arial"/>
          <w:color w:val="auto"/>
          <w:kern w:val="0"/>
          <w:szCs w:val="21"/>
        </w:rPr>
      </w:pPr>
      <w:r>
        <w:rPr>
          <w:rFonts w:hint="eastAsia" w:ascii="宋体" w:hAnsi="宋体" w:cs="Arial"/>
          <w:color w:val="auto"/>
          <w:kern w:val="0"/>
          <w:szCs w:val="21"/>
        </w:rPr>
        <w:t xml:space="preserve">1、合同总价为人民币（大写）：                </w:t>
      </w:r>
      <w:r>
        <w:rPr>
          <w:rFonts w:hint="eastAsia" w:ascii="宋体" w:hAnsi="宋体"/>
          <w:color w:val="auto"/>
          <w:szCs w:val="21"/>
        </w:rPr>
        <w:t>元整。</w:t>
      </w:r>
    </w:p>
    <w:p>
      <w:pPr>
        <w:widowControl/>
        <w:spacing w:line="400" w:lineRule="exact"/>
        <w:ind w:firstLine="420" w:firstLineChars="200"/>
        <w:jc w:val="left"/>
        <w:rPr>
          <w:rFonts w:ascii="宋体" w:hAnsi="宋体" w:cs="Arial"/>
          <w:color w:val="auto"/>
          <w:kern w:val="0"/>
          <w:szCs w:val="21"/>
        </w:rPr>
      </w:pPr>
      <w:r>
        <w:rPr>
          <w:rFonts w:hint="eastAsia" w:ascii="宋体" w:hAnsi="宋体" w:cs="Arial"/>
          <w:color w:val="auto"/>
          <w:kern w:val="0"/>
          <w:szCs w:val="21"/>
        </w:rPr>
        <w:t>2、以上货物价款包括运输、保险、税费、搬运、安装、调试及服务等费用。</w:t>
      </w:r>
    </w:p>
    <w:p>
      <w:pPr>
        <w:widowControl/>
        <w:spacing w:beforeLines="50" w:line="400" w:lineRule="exact"/>
        <w:jc w:val="left"/>
        <w:rPr>
          <w:rFonts w:ascii="宋体" w:hAnsi="宋体" w:cs="Arial"/>
          <w:color w:val="auto"/>
          <w:kern w:val="0"/>
          <w:sz w:val="24"/>
        </w:rPr>
      </w:pPr>
      <w:r>
        <w:rPr>
          <w:rFonts w:hint="eastAsia" w:ascii="宋体" w:hAnsi="宋体"/>
          <w:b/>
          <w:color w:val="auto"/>
          <w:sz w:val="24"/>
        </w:rPr>
        <w:t>三、交货时间、地点及方式</w:t>
      </w:r>
    </w:p>
    <w:p>
      <w:pPr>
        <w:widowControl/>
        <w:snapToGrid w:val="0"/>
        <w:spacing w:line="400" w:lineRule="exact"/>
        <w:ind w:firstLine="420" w:firstLineChars="200"/>
        <w:jc w:val="left"/>
        <w:rPr>
          <w:rFonts w:ascii="宋体" w:hAnsi="宋体"/>
          <w:bCs/>
          <w:color w:val="auto"/>
          <w:szCs w:val="21"/>
        </w:rPr>
      </w:pPr>
      <w:r>
        <w:rPr>
          <w:rFonts w:hint="eastAsia" w:ascii="宋体" w:hAnsi="宋体" w:cs="Arial"/>
          <w:color w:val="auto"/>
          <w:kern w:val="0"/>
        </w:rPr>
        <w:t>1、</w:t>
      </w:r>
      <w:r>
        <w:rPr>
          <w:rFonts w:hint="eastAsia" w:ascii="宋体" w:hAnsi="宋体"/>
          <w:bCs/>
          <w:color w:val="auto"/>
          <w:szCs w:val="21"/>
        </w:rPr>
        <w:t>货物在合同签订后2018年   月   日前于湖南工程学院安装指定地点完成安装、调试及验收工作。</w:t>
      </w:r>
    </w:p>
    <w:p>
      <w:pPr>
        <w:widowControl/>
        <w:snapToGrid w:val="0"/>
        <w:spacing w:line="400" w:lineRule="exact"/>
        <w:ind w:firstLine="420" w:firstLineChars="200"/>
        <w:jc w:val="left"/>
        <w:rPr>
          <w:rFonts w:ascii="宋体" w:hAnsi="宋体" w:cs="Arial"/>
          <w:color w:val="auto"/>
          <w:kern w:val="0"/>
          <w:szCs w:val="21"/>
        </w:rPr>
      </w:pPr>
      <w:r>
        <w:rPr>
          <w:rFonts w:hint="eastAsia" w:ascii="宋体" w:hAnsi="宋体" w:cs="Arial"/>
          <w:color w:val="auto"/>
          <w:kern w:val="0"/>
          <w:szCs w:val="21"/>
        </w:rPr>
        <w:t>2、乙方负责办理运输和保险，将货物运抵现场，并负责装卸和搬运到甲方指定</w:t>
      </w:r>
      <w:r>
        <w:rPr>
          <w:rFonts w:hint="eastAsia" w:ascii="宋体" w:hAnsi="宋体" w:cs="Arial"/>
          <w:color w:val="auto"/>
          <w:kern w:val="0"/>
        </w:rPr>
        <w:t>安装</w:t>
      </w:r>
      <w:r>
        <w:rPr>
          <w:rFonts w:hint="eastAsia" w:ascii="宋体" w:hAnsi="宋体" w:cs="Arial"/>
          <w:color w:val="auto"/>
          <w:kern w:val="0"/>
          <w:szCs w:val="21"/>
        </w:rPr>
        <w:t>地点。</w:t>
      </w:r>
    </w:p>
    <w:p>
      <w:pPr>
        <w:widowControl/>
        <w:snapToGrid w:val="0"/>
        <w:spacing w:line="400" w:lineRule="exact"/>
        <w:ind w:firstLine="420" w:firstLineChars="200"/>
        <w:jc w:val="left"/>
        <w:rPr>
          <w:rFonts w:ascii="宋体" w:hAnsi="宋体" w:cs="Arial"/>
          <w:color w:val="auto"/>
          <w:kern w:val="0"/>
          <w:szCs w:val="21"/>
        </w:rPr>
      </w:pPr>
      <w:r>
        <w:rPr>
          <w:rFonts w:hint="eastAsia" w:ascii="宋体" w:hAnsi="宋体" w:cs="Arial"/>
          <w:color w:val="auto"/>
          <w:kern w:val="0"/>
          <w:szCs w:val="21"/>
        </w:rPr>
        <w:t>3、交货方式为</w:t>
      </w:r>
      <w:r>
        <w:rPr>
          <w:rFonts w:hint="eastAsia" w:ascii="宋体" w:hAnsi="宋体" w:cs="Arial"/>
          <w:color w:val="auto"/>
          <w:kern w:val="0"/>
        </w:rPr>
        <w:t>甲方</w:t>
      </w:r>
      <w:r>
        <w:rPr>
          <w:rFonts w:hint="eastAsia" w:ascii="宋体" w:hAnsi="宋体" w:cs="Arial"/>
          <w:color w:val="auto"/>
          <w:kern w:val="0"/>
          <w:szCs w:val="21"/>
        </w:rPr>
        <w:t>现场交货。</w:t>
      </w:r>
    </w:p>
    <w:p>
      <w:pPr>
        <w:widowControl/>
        <w:spacing w:beforeLines="50" w:line="400" w:lineRule="exact"/>
        <w:jc w:val="left"/>
        <w:rPr>
          <w:rFonts w:ascii="宋体" w:hAnsi="宋体" w:cs="Arial"/>
          <w:color w:val="auto"/>
          <w:kern w:val="0"/>
          <w:sz w:val="24"/>
        </w:rPr>
      </w:pPr>
      <w:r>
        <w:rPr>
          <w:rFonts w:hint="eastAsia" w:ascii="宋体" w:hAnsi="宋体" w:cs="Arial"/>
          <w:b/>
          <w:bCs/>
          <w:color w:val="auto"/>
          <w:kern w:val="0"/>
          <w:sz w:val="24"/>
        </w:rPr>
        <w:t>四、付款方式</w:t>
      </w:r>
    </w:p>
    <w:p>
      <w:pPr>
        <w:widowControl/>
        <w:snapToGrid w:val="0"/>
        <w:spacing w:line="400" w:lineRule="exact"/>
        <w:ind w:firstLine="420" w:firstLineChars="200"/>
        <w:jc w:val="left"/>
        <w:rPr>
          <w:rFonts w:ascii="宋体" w:hAnsi="宋体" w:cs="Arial"/>
          <w:color w:val="auto"/>
          <w:kern w:val="0"/>
          <w:szCs w:val="21"/>
        </w:rPr>
      </w:pPr>
      <w:r>
        <w:rPr>
          <w:rFonts w:hint="eastAsia" w:ascii="宋体" w:hAnsi="宋体" w:cs="Arial"/>
          <w:color w:val="auto"/>
          <w:kern w:val="0"/>
          <w:szCs w:val="21"/>
        </w:rPr>
        <w:t>1、</w:t>
      </w:r>
      <w:r>
        <w:rPr>
          <w:rFonts w:hint="eastAsia" w:ascii="宋体" w:hAnsi="宋体" w:cs="宋体"/>
          <w:color w:val="auto"/>
          <w:kern w:val="0"/>
          <w:szCs w:val="21"/>
        </w:rPr>
        <w:t>本项目不预付货款。</w:t>
      </w:r>
      <w:r>
        <w:rPr>
          <w:rFonts w:hint="eastAsia" w:ascii="宋体" w:hAnsi="宋体"/>
          <w:color w:val="auto"/>
          <w:szCs w:val="21"/>
        </w:rPr>
        <w:t>经用户验收合格后二十日内，凭用户验收证明单及卖方开具的发票支付货款的95%，余下5%货款作为质量保证金在质保期满后十五天内凭用户验收证明单及卖方开具的发票一次付清</w:t>
      </w:r>
      <w:r>
        <w:rPr>
          <w:rFonts w:hint="eastAsia" w:ascii="宋体" w:hAnsi="宋体" w:cs="宋体"/>
          <w:color w:val="auto"/>
          <w:kern w:val="0"/>
          <w:szCs w:val="21"/>
        </w:rPr>
        <w:t>。</w:t>
      </w:r>
    </w:p>
    <w:p>
      <w:pPr>
        <w:widowControl/>
        <w:snapToGrid w:val="0"/>
        <w:spacing w:line="400" w:lineRule="exact"/>
        <w:ind w:firstLine="420" w:firstLineChars="200"/>
        <w:jc w:val="left"/>
        <w:rPr>
          <w:rFonts w:ascii="宋体" w:hAnsi="宋体" w:cs="Arial"/>
          <w:color w:val="auto"/>
          <w:kern w:val="0"/>
          <w:szCs w:val="21"/>
        </w:rPr>
      </w:pPr>
      <w:r>
        <w:rPr>
          <w:rFonts w:hint="eastAsia" w:ascii="宋体" w:hAnsi="宋体" w:cs="Arial"/>
          <w:color w:val="auto"/>
          <w:kern w:val="0"/>
          <w:szCs w:val="21"/>
        </w:rPr>
        <w:t>2、支付方式:通过银行转账方式支付。</w:t>
      </w:r>
    </w:p>
    <w:p>
      <w:pPr>
        <w:widowControl/>
        <w:snapToGrid w:val="0"/>
        <w:spacing w:line="400" w:lineRule="exact"/>
        <w:ind w:firstLine="420" w:firstLineChars="200"/>
        <w:jc w:val="left"/>
        <w:rPr>
          <w:rFonts w:ascii="宋体" w:hAnsi="宋体" w:cs="Arial"/>
          <w:color w:val="auto"/>
          <w:kern w:val="0"/>
          <w:sz w:val="18"/>
          <w:szCs w:val="18"/>
        </w:rPr>
      </w:pPr>
      <w:r>
        <w:rPr>
          <w:rFonts w:hint="eastAsia" w:ascii="宋体" w:hAnsi="宋体" w:cs="Arial"/>
          <w:color w:val="auto"/>
          <w:kern w:val="0"/>
          <w:szCs w:val="21"/>
        </w:rPr>
        <w:t xml:space="preserve">3、支付单位: </w:t>
      </w:r>
      <w:r>
        <w:rPr>
          <w:rFonts w:hint="eastAsia" w:ascii="宋体" w:hAnsi="宋体"/>
          <w:color w:val="auto"/>
          <w:szCs w:val="21"/>
        </w:rPr>
        <w:t>甲方</w:t>
      </w:r>
      <w:r>
        <w:rPr>
          <w:rFonts w:hint="eastAsia" w:ascii="宋体" w:hAnsi="宋体" w:cs="Arial"/>
          <w:color w:val="auto"/>
          <w:kern w:val="0"/>
          <w:szCs w:val="21"/>
        </w:rPr>
        <w:t>。</w:t>
      </w:r>
    </w:p>
    <w:p>
      <w:pPr>
        <w:spacing w:beforeLines="50" w:line="400" w:lineRule="exact"/>
        <w:rPr>
          <w:rFonts w:ascii="宋体" w:hAnsi="宋体"/>
          <w:b/>
          <w:color w:val="auto"/>
          <w:sz w:val="24"/>
        </w:rPr>
      </w:pPr>
      <w:r>
        <w:rPr>
          <w:rFonts w:hint="eastAsia" w:ascii="宋体" w:hAnsi="宋体"/>
          <w:b/>
          <w:color w:val="auto"/>
          <w:sz w:val="24"/>
        </w:rPr>
        <w:t>五、技术标准、质量保证及售后服务</w:t>
      </w:r>
    </w:p>
    <w:p>
      <w:pPr>
        <w:spacing w:line="400" w:lineRule="exact"/>
        <w:ind w:firstLine="420" w:firstLineChars="200"/>
        <w:rPr>
          <w:rFonts w:ascii="宋体" w:hAnsi="宋体"/>
          <w:color w:val="auto"/>
          <w:szCs w:val="21"/>
        </w:rPr>
      </w:pPr>
      <w:r>
        <w:rPr>
          <w:rFonts w:hint="eastAsia" w:ascii="宋体" w:hAnsi="宋体"/>
          <w:color w:val="auto"/>
          <w:szCs w:val="21"/>
        </w:rPr>
        <w:t>1、</w:t>
      </w:r>
      <w:r>
        <w:rPr>
          <w:rFonts w:hint="eastAsia" w:ascii="宋体" w:hAnsi="宋体" w:cs="Arial"/>
          <w:color w:val="auto"/>
          <w:kern w:val="0"/>
          <w:szCs w:val="21"/>
        </w:rPr>
        <w:t>乙方</w:t>
      </w:r>
      <w:r>
        <w:rPr>
          <w:rFonts w:hint="eastAsia" w:ascii="宋体" w:hAnsi="宋体"/>
          <w:color w:val="auto"/>
          <w:szCs w:val="21"/>
        </w:rPr>
        <w:t>必须严格按照招标文件要求提供符合国家技术标准或行业标准的产品。</w:t>
      </w:r>
    </w:p>
    <w:p>
      <w:pPr>
        <w:spacing w:line="400" w:lineRule="exact"/>
        <w:ind w:firstLine="420" w:firstLineChars="200"/>
        <w:rPr>
          <w:rFonts w:ascii="宋体" w:hAnsi="宋体"/>
          <w:color w:val="auto"/>
          <w:szCs w:val="21"/>
        </w:rPr>
      </w:pPr>
      <w:r>
        <w:rPr>
          <w:rFonts w:hint="eastAsia" w:ascii="宋体" w:hAnsi="宋体"/>
          <w:color w:val="auto"/>
          <w:szCs w:val="21"/>
        </w:rPr>
        <w:t>2、</w:t>
      </w:r>
      <w:r>
        <w:rPr>
          <w:rFonts w:hint="eastAsia" w:ascii="宋体" w:hAnsi="宋体" w:cs="Arial"/>
          <w:color w:val="auto"/>
          <w:kern w:val="0"/>
          <w:szCs w:val="21"/>
        </w:rPr>
        <w:t>乙方</w:t>
      </w:r>
      <w:r>
        <w:rPr>
          <w:rFonts w:hint="eastAsia" w:ascii="宋体" w:hAnsi="宋体"/>
          <w:color w:val="auto"/>
          <w:szCs w:val="21"/>
        </w:rPr>
        <w:t>必须保证所提供的货物（包括零部件）是原装、全新、通过合法渠道取得的正规产品，并且符合国家有关检测标准和合同规定的质量、性能、技术规范等的要求以及该产品的出厂标准和原装配置。</w:t>
      </w:r>
    </w:p>
    <w:p>
      <w:pPr>
        <w:spacing w:line="400" w:lineRule="exact"/>
        <w:ind w:firstLine="420" w:firstLineChars="200"/>
        <w:rPr>
          <w:rFonts w:ascii="宋体" w:hAnsi="宋体"/>
          <w:color w:val="auto"/>
          <w:szCs w:val="21"/>
        </w:rPr>
      </w:pPr>
      <w:r>
        <w:rPr>
          <w:rFonts w:hint="eastAsia" w:ascii="宋体" w:hAnsi="宋体"/>
          <w:color w:val="auto"/>
          <w:szCs w:val="21"/>
        </w:rPr>
        <w:t>3、</w:t>
      </w:r>
      <w:r>
        <w:rPr>
          <w:rFonts w:hint="eastAsia" w:ascii="宋体" w:hAnsi="宋体" w:cs="Arial"/>
          <w:color w:val="auto"/>
          <w:kern w:val="0"/>
          <w:szCs w:val="21"/>
        </w:rPr>
        <w:t>甲方</w:t>
      </w:r>
      <w:r>
        <w:rPr>
          <w:rFonts w:hint="eastAsia" w:ascii="宋体" w:hAnsi="宋体"/>
          <w:color w:val="auto"/>
          <w:szCs w:val="21"/>
        </w:rPr>
        <w:t>按国家技术标准或行业标准自行检验的结果或委托有资质的相关质检机构的检验结果，如发现货物的数量、质量、规格与合同不符；或者在质量保证期内，证实货物存在缺陷，包括潜在的缺陷或使用不符合要求的材料等，</w:t>
      </w:r>
      <w:r>
        <w:rPr>
          <w:rFonts w:hint="eastAsia" w:ascii="宋体" w:hAnsi="宋体" w:cs="Arial"/>
          <w:color w:val="auto"/>
          <w:kern w:val="0"/>
          <w:szCs w:val="21"/>
        </w:rPr>
        <w:t>甲方</w:t>
      </w:r>
      <w:r>
        <w:rPr>
          <w:rFonts w:hint="eastAsia" w:ascii="宋体" w:hAnsi="宋体"/>
          <w:color w:val="auto"/>
          <w:szCs w:val="21"/>
        </w:rPr>
        <w:t>应尽快以书面形式通知</w:t>
      </w:r>
      <w:r>
        <w:rPr>
          <w:rFonts w:hint="eastAsia" w:ascii="宋体" w:hAnsi="宋体" w:cs="Arial"/>
          <w:color w:val="auto"/>
          <w:kern w:val="0"/>
          <w:szCs w:val="21"/>
        </w:rPr>
        <w:t>乙方</w:t>
      </w:r>
      <w:r>
        <w:rPr>
          <w:rFonts w:hint="eastAsia" w:ascii="宋体" w:hAnsi="宋体"/>
          <w:color w:val="auto"/>
          <w:szCs w:val="21"/>
        </w:rPr>
        <w:t>。</w:t>
      </w:r>
      <w:r>
        <w:rPr>
          <w:rFonts w:hint="eastAsia" w:ascii="宋体" w:hAnsi="宋体" w:cs="Arial"/>
          <w:color w:val="auto"/>
          <w:kern w:val="0"/>
          <w:szCs w:val="21"/>
        </w:rPr>
        <w:t>乙方</w:t>
      </w:r>
      <w:r>
        <w:rPr>
          <w:rFonts w:hint="eastAsia" w:ascii="宋体" w:hAnsi="宋体"/>
          <w:color w:val="auto"/>
          <w:szCs w:val="21"/>
        </w:rPr>
        <w:t>在收到通知后3日内应免费维修或更换有缺陷的货物或部件。如果</w:t>
      </w:r>
      <w:r>
        <w:rPr>
          <w:rFonts w:hint="eastAsia" w:ascii="宋体" w:hAnsi="宋体" w:cs="Arial"/>
          <w:color w:val="auto"/>
          <w:kern w:val="0"/>
          <w:szCs w:val="21"/>
        </w:rPr>
        <w:t>乙方</w:t>
      </w:r>
      <w:r>
        <w:rPr>
          <w:rFonts w:hint="eastAsia" w:ascii="宋体" w:hAnsi="宋体"/>
          <w:color w:val="auto"/>
          <w:szCs w:val="21"/>
        </w:rPr>
        <w:t>在收到通知后3日内没有弥补缺陷，</w:t>
      </w:r>
      <w:r>
        <w:rPr>
          <w:rFonts w:hint="eastAsia" w:ascii="宋体" w:hAnsi="宋体" w:cs="Arial"/>
          <w:color w:val="auto"/>
          <w:kern w:val="0"/>
          <w:szCs w:val="21"/>
        </w:rPr>
        <w:t>甲方</w:t>
      </w:r>
      <w:r>
        <w:rPr>
          <w:rFonts w:hint="eastAsia" w:ascii="宋体" w:hAnsi="宋体"/>
          <w:color w:val="auto"/>
          <w:szCs w:val="21"/>
        </w:rPr>
        <w:t>可采取必要的补救措施，但由此引发的风险和费用将由</w:t>
      </w:r>
      <w:r>
        <w:rPr>
          <w:rFonts w:hint="eastAsia" w:ascii="宋体" w:hAnsi="宋体" w:cs="Arial"/>
          <w:color w:val="auto"/>
          <w:kern w:val="0"/>
          <w:szCs w:val="21"/>
        </w:rPr>
        <w:t>乙方</w:t>
      </w:r>
      <w:r>
        <w:rPr>
          <w:rFonts w:hint="eastAsia" w:ascii="宋体" w:hAnsi="宋体"/>
          <w:color w:val="auto"/>
          <w:szCs w:val="21"/>
        </w:rPr>
        <w:t>承担。</w:t>
      </w:r>
    </w:p>
    <w:p>
      <w:pPr>
        <w:spacing w:line="400" w:lineRule="exact"/>
        <w:ind w:firstLine="420" w:firstLineChars="200"/>
        <w:rPr>
          <w:rFonts w:ascii="宋体" w:hAnsi="宋体"/>
          <w:color w:val="auto"/>
          <w:szCs w:val="21"/>
        </w:rPr>
      </w:pPr>
      <w:r>
        <w:rPr>
          <w:rFonts w:hint="eastAsia" w:ascii="宋体" w:hAnsi="宋体"/>
          <w:color w:val="auto"/>
          <w:szCs w:val="21"/>
        </w:rPr>
        <w:t>4、按生产厂家或国家有关的保修规定进行保修，并按投标文件中承诺的售后服务和保质、保修条件进行维修。在货物质量保证期之内，</w:t>
      </w:r>
      <w:r>
        <w:rPr>
          <w:rFonts w:hint="eastAsia" w:ascii="宋体" w:hAnsi="宋体" w:cs="Arial"/>
          <w:color w:val="auto"/>
          <w:kern w:val="0"/>
          <w:szCs w:val="21"/>
        </w:rPr>
        <w:t>乙方</w:t>
      </w:r>
      <w:r>
        <w:rPr>
          <w:rFonts w:hint="eastAsia" w:ascii="宋体" w:hAnsi="宋体"/>
          <w:color w:val="auto"/>
          <w:szCs w:val="21"/>
        </w:rPr>
        <w:t>须对由于设计、工艺或材料的缺陷而发生的任何不足或故障负责。</w:t>
      </w:r>
    </w:p>
    <w:p>
      <w:pPr>
        <w:spacing w:line="400" w:lineRule="exact"/>
        <w:ind w:firstLine="420" w:firstLineChars="200"/>
        <w:rPr>
          <w:rFonts w:ascii="宋体" w:hAnsi="宋体"/>
          <w:color w:val="auto"/>
          <w:szCs w:val="21"/>
        </w:rPr>
      </w:pPr>
      <w:r>
        <w:rPr>
          <w:rFonts w:hint="eastAsia" w:ascii="宋体" w:hAnsi="宋体" w:cs="Arial"/>
          <w:color w:val="auto"/>
          <w:kern w:val="0"/>
          <w:szCs w:val="21"/>
        </w:rPr>
        <w:t>5、合同履行期间及货物使用期内乙方应根据甲方的要求就货物的设计、制造、安装、调试、使用、维护及维修免费提供技术咨询。在货物寿命期内，乙方应备有足够的易损件供应，甲方要求订购备件或维修服务，乙方应能及时提供。</w:t>
      </w:r>
      <w:r>
        <w:rPr>
          <w:rFonts w:hint="eastAsia" w:ascii="宋体" w:hAnsi="宋体"/>
          <w:color w:val="auto"/>
          <w:szCs w:val="21"/>
        </w:rPr>
        <w:t>超过保修期后的维修只收取零配件成本费。</w:t>
      </w:r>
    </w:p>
    <w:p>
      <w:pPr>
        <w:widowControl/>
        <w:spacing w:beforeLines="50" w:line="400" w:lineRule="exact"/>
        <w:jc w:val="left"/>
        <w:rPr>
          <w:rFonts w:ascii="宋体" w:hAnsi="宋体" w:cs="Arial"/>
          <w:b/>
          <w:color w:val="auto"/>
          <w:kern w:val="0"/>
          <w:sz w:val="24"/>
        </w:rPr>
      </w:pPr>
      <w:r>
        <w:rPr>
          <w:rFonts w:hint="eastAsia" w:ascii="宋体" w:hAnsi="宋体" w:cs="Arial"/>
          <w:b/>
          <w:bCs/>
          <w:color w:val="auto"/>
          <w:kern w:val="0"/>
          <w:sz w:val="24"/>
        </w:rPr>
        <w:t>六、</w:t>
      </w:r>
      <w:r>
        <w:rPr>
          <w:rFonts w:hint="eastAsia" w:ascii="宋体" w:hAnsi="宋体" w:cs="Arial"/>
          <w:b/>
          <w:color w:val="auto"/>
          <w:kern w:val="0"/>
          <w:sz w:val="24"/>
        </w:rPr>
        <w:t>安装、验收及技术资料</w:t>
      </w:r>
    </w:p>
    <w:p>
      <w:pPr>
        <w:widowControl/>
        <w:snapToGrid w:val="0"/>
        <w:spacing w:line="400" w:lineRule="exact"/>
        <w:ind w:firstLine="420" w:firstLineChars="200"/>
        <w:jc w:val="left"/>
        <w:rPr>
          <w:rFonts w:ascii="宋体" w:hAnsi="宋体" w:cs="Arial"/>
          <w:color w:val="auto"/>
          <w:kern w:val="0"/>
          <w:szCs w:val="21"/>
        </w:rPr>
      </w:pPr>
      <w:r>
        <w:rPr>
          <w:rFonts w:hint="eastAsia" w:ascii="宋体" w:hAnsi="宋体" w:cs="Arial"/>
          <w:color w:val="auto"/>
          <w:kern w:val="0"/>
          <w:szCs w:val="21"/>
        </w:rPr>
        <w:t>1、乙方应在合同规定的日期内负责完成货物的安装、调试等工作，并及时约请甲方验收。凡调试所需的特殊或大宗的耗材、辅料，由乙方提供（含在合同总价中）。</w:t>
      </w:r>
    </w:p>
    <w:p>
      <w:pPr>
        <w:widowControl/>
        <w:snapToGrid w:val="0"/>
        <w:spacing w:line="400" w:lineRule="exact"/>
        <w:ind w:firstLine="420" w:firstLineChars="200"/>
        <w:jc w:val="left"/>
        <w:rPr>
          <w:rFonts w:ascii="宋体" w:hAnsi="宋体" w:cs="Arial"/>
          <w:color w:val="auto"/>
          <w:kern w:val="0"/>
          <w:szCs w:val="21"/>
        </w:rPr>
      </w:pPr>
      <w:r>
        <w:rPr>
          <w:rFonts w:hint="eastAsia" w:ascii="宋体" w:hAnsi="宋体" w:cs="Arial"/>
          <w:color w:val="auto"/>
          <w:kern w:val="0"/>
          <w:szCs w:val="21"/>
        </w:rPr>
        <w:t>2、乙方在安装期间要注意文明施工，因乙方的原因造成对甲方建筑物、构筑物、环保、绿化等破坏由乙方负责修复和赔偿。安装期间发生的货物丢失、损坏、人身伤害及治安问题等所产生的经济损失一概由乙方负责。</w:t>
      </w:r>
    </w:p>
    <w:p>
      <w:pPr>
        <w:spacing w:line="400" w:lineRule="exact"/>
        <w:ind w:firstLine="420" w:firstLineChars="200"/>
        <w:rPr>
          <w:rFonts w:ascii="宋体" w:hAnsi="宋体"/>
          <w:color w:val="auto"/>
          <w:szCs w:val="21"/>
        </w:rPr>
      </w:pPr>
      <w:r>
        <w:rPr>
          <w:rFonts w:hint="eastAsia" w:ascii="宋体" w:hAnsi="宋体" w:cs="Arial"/>
          <w:color w:val="auto"/>
          <w:kern w:val="0"/>
          <w:szCs w:val="21"/>
        </w:rPr>
        <w:t>3、乙方约请甲方验收前，乙方应对货物的</w:t>
      </w:r>
      <w:r>
        <w:rPr>
          <w:rFonts w:hint="eastAsia" w:ascii="宋体" w:hAnsi="宋体"/>
          <w:color w:val="auto"/>
          <w:szCs w:val="21"/>
        </w:rPr>
        <w:t>生产厂家、数量、型号</w:t>
      </w:r>
      <w:r>
        <w:rPr>
          <w:rFonts w:hint="eastAsia" w:ascii="宋体" w:hAnsi="宋体" w:cs="Arial"/>
          <w:color w:val="auto"/>
          <w:kern w:val="0"/>
          <w:szCs w:val="21"/>
        </w:rPr>
        <w:t>规格</w:t>
      </w:r>
      <w:r>
        <w:rPr>
          <w:rFonts w:hint="eastAsia" w:ascii="宋体" w:hAnsi="宋体"/>
          <w:color w:val="auto"/>
          <w:szCs w:val="21"/>
        </w:rPr>
        <w:t>、外观质量、</w:t>
      </w:r>
      <w:r>
        <w:rPr>
          <w:rFonts w:hint="eastAsia" w:ascii="宋体" w:hAnsi="宋体" w:cs="宋体"/>
          <w:color w:val="auto"/>
          <w:kern w:val="0"/>
          <w:szCs w:val="21"/>
        </w:rPr>
        <w:t>功能、</w:t>
      </w:r>
      <w:r>
        <w:rPr>
          <w:rFonts w:hint="eastAsia" w:ascii="宋体" w:hAnsi="宋体"/>
          <w:color w:val="auto"/>
          <w:szCs w:val="21"/>
        </w:rPr>
        <w:t>技术性能指标、技术资料等</w:t>
      </w:r>
      <w:r>
        <w:rPr>
          <w:rFonts w:hint="eastAsia" w:ascii="宋体" w:hAnsi="宋体" w:cs="Arial"/>
          <w:color w:val="auto"/>
          <w:kern w:val="0"/>
          <w:szCs w:val="21"/>
        </w:rPr>
        <w:t>进行详细而全面的核查和检验（必要时应派甲方的代表参与有关的验收试验），并出具一份证明货物符合合同规定的材料，供甲方验收时审查。</w:t>
      </w:r>
    </w:p>
    <w:p>
      <w:pPr>
        <w:spacing w:line="400" w:lineRule="exact"/>
        <w:ind w:firstLine="420" w:firstLineChars="200"/>
        <w:rPr>
          <w:rFonts w:ascii="宋体" w:hAnsi="宋体"/>
          <w:color w:val="auto"/>
        </w:rPr>
      </w:pPr>
      <w:r>
        <w:rPr>
          <w:rFonts w:hint="eastAsia" w:ascii="宋体" w:hAnsi="宋体"/>
          <w:color w:val="auto"/>
          <w:szCs w:val="21"/>
        </w:rPr>
        <w:t>4、货物的验收按国家有关标准或行业标准及合同要求进行，由</w:t>
      </w:r>
      <w:r>
        <w:rPr>
          <w:rFonts w:hint="eastAsia" w:ascii="宋体" w:hAnsi="宋体" w:cs="Arial"/>
          <w:color w:val="auto"/>
          <w:kern w:val="0"/>
          <w:szCs w:val="21"/>
        </w:rPr>
        <w:t>甲</w:t>
      </w:r>
      <w:r>
        <w:rPr>
          <w:rFonts w:hint="eastAsia" w:ascii="宋体" w:hAnsi="宋体"/>
          <w:color w:val="auto"/>
          <w:szCs w:val="21"/>
        </w:rPr>
        <w:t>、</w:t>
      </w:r>
      <w:r>
        <w:rPr>
          <w:rFonts w:hint="eastAsia" w:ascii="宋体" w:hAnsi="宋体" w:cs="Arial"/>
          <w:color w:val="auto"/>
          <w:kern w:val="0"/>
          <w:szCs w:val="21"/>
        </w:rPr>
        <w:t>乙双方代表</w:t>
      </w:r>
      <w:r>
        <w:rPr>
          <w:rFonts w:hint="eastAsia" w:ascii="宋体" w:hAnsi="宋体"/>
          <w:color w:val="auto"/>
          <w:szCs w:val="21"/>
        </w:rPr>
        <w:t>共同对货物进行检查验收，若验收合格，由</w:t>
      </w:r>
      <w:r>
        <w:rPr>
          <w:rFonts w:hint="eastAsia" w:ascii="宋体" w:hAnsi="宋体" w:cs="Arial"/>
          <w:color w:val="auto"/>
          <w:kern w:val="0"/>
          <w:szCs w:val="21"/>
        </w:rPr>
        <w:t>甲方出具验收合格证明单</w:t>
      </w:r>
      <w:r>
        <w:rPr>
          <w:rFonts w:hint="eastAsia" w:ascii="宋体" w:hAnsi="宋体"/>
          <w:color w:val="auto"/>
          <w:szCs w:val="21"/>
        </w:rPr>
        <w:t>。验收</w:t>
      </w:r>
      <w:r>
        <w:rPr>
          <w:rFonts w:hint="eastAsia" w:ascii="宋体" w:hAnsi="宋体"/>
          <w:bCs/>
          <w:color w:val="auto"/>
          <w:szCs w:val="21"/>
        </w:rPr>
        <w:t>过程中发现的问题，由</w:t>
      </w:r>
      <w:r>
        <w:rPr>
          <w:rFonts w:hint="eastAsia" w:ascii="宋体" w:hAnsi="宋体" w:cs="Arial"/>
          <w:color w:val="auto"/>
          <w:kern w:val="0"/>
          <w:szCs w:val="21"/>
        </w:rPr>
        <w:t>甲方发出整改通知书，乙方</w:t>
      </w:r>
      <w:r>
        <w:rPr>
          <w:rFonts w:hint="eastAsia" w:ascii="宋体" w:hAnsi="宋体"/>
          <w:bCs/>
          <w:color w:val="auto"/>
          <w:szCs w:val="21"/>
        </w:rPr>
        <w:t>应在规定的时间内及时完成整改事项。</w:t>
      </w:r>
      <w:r>
        <w:rPr>
          <w:rFonts w:hint="eastAsia" w:ascii="宋体" w:hAnsi="宋体" w:cs="Arial"/>
          <w:color w:val="auto"/>
          <w:kern w:val="0"/>
          <w:szCs w:val="21"/>
        </w:rPr>
        <w:t xml:space="preserve">   </w:t>
      </w:r>
    </w:p>
    <w:p>
      <w:pPr>
        <w:pStyle w:val="18"/>
        <w:adjustRightInd w:val="0"/>
        <w:snapToGrid w:val="0"/>
        <w:spacing w:line="400" w:lineRule="exact"/>
        <w:ind w:firstLine="420" w:firstLineChars="200"/>
        <w:rPr>
          <w:rFonts w:ascii="宋体" w:hAnsi="宋体"/>
          <w:bCs/>
          <w:color w:val="auto"/>
          <w:sz w:val="21"/>
          <w:szCs w:val="21"/>
        </w:rPr>
      </w:pPr>
      <w:r>
        <w:rPr>
          <w:rFonts w:hint="eastAsia" w:ascii="宋体" w:hAnsi="宋体"/>
          <w:bCs/>
          <w:color w:val="auto"/>
          <w:sz w:val="21"/>
          <w:szCs w:val="21"/>
        </w:rPr>
        <w:t>5、</w:t>
      </w:r>
      <w:r>
        <w:rPr>
          <w:rFonts w:hint="eastAsia" w:ascii="宋体" w:hAnsi="宋体" w:cs="Arial"/>
          <w:color w:val="auto"/>
          <w:kern w:val="0"/>
          <w:sz w:val="21"/>
          <w:szCs w:val="21"/>
        </w:rPr>
        <w:t>乙方</w:t>
      </w:r>
      <w:r>
        <w:rPr>
          <w:rFonts w:hint="eastAsia" w:ascii="宋体" w:hAnsi="宋体"/>
          <w:bCs/>
          <w:color w:val="auto"/>
          <w:sz w:val="21"/>
          <w:szCs w:val="21"/>
        </w:rPr>
        <w:t>应免费提供以下与合同货物相符的中文技术文件：</w:t>
      </w:r>
    </w:p>
    <w:p>
      <w:pPr>
        <w:snapToGrid w:val="0"/>
        <w:spacing w:line="400" w:lineRule="exact"/>
        <w:ind w:firstLine="630" w:firstLineChars="300"/>
        <w:rPr>
          <w:rFonts w:ascii="宋体" w:hAnsi="宋体"/>
          <w:bCs/>
          <w:color w:val="auto"/>
          <w:szCs w:val="21"/>
        </w:rPr>
      </w:pPr>
      <w:r>
        <w:rPr>
          <w:rFonts w:hint="eastAsia" w:ascii="宋体" w:hAnsi="宋体"/>
          <w:color w:val="auto"/>
          <w:szCs w:val="21"/>
        </w:rPr>
        <w:t>(1)产品样本</w:t>
      </w:r>
      <w:r>
        <w:rPr>
          <w:rFonts w:hint="eastAsia" w:ascii="宋体" w:hAnsi="宋体"/>
          <w:bCs/>
          <w:color w:val="auto"/>
          <w:szCs w:val="21"/>
        </w:rPr>
        <w:t>、图纸；</w:t>
      </w:r>
    </w:p>
    <w:p>
      <w:pPr>
        <w:snapToGrid w:val="0"/>
        <w:spacing w:line="400" w:lineRule="exact"/>
        <w:ind w:firstLine="630" w:firstLineChars="300"/>
        <w:rPr>
          <w:rFonts w:ascii="宋体" w:hAnsi="宋体"/>
          <w:color w:val="auto"/>
          <w:szCs w:val="21"/>
        </w:rPr>
      </w:pPr>
      <w:r>
        <w:rPr>
          <w:rFonts w:hint="eastAsia" w:ascii="宋体" w:hAnsi="宋体"/>
          <w:color w:val="auto"/>
          <w:szCs w:val="21"/>
        </w:rPr>
        <w:t xml:space="preserve">(2)生产许可证、出厂检验证、合格证； </w:t>
      </w:r>
    </w:p>
    <w:p>
      <w:pPr>
        <w:snapToGrid w:val="0"/>
        <w:spacing w:line="400" w:lineRule="exact"/>
        <w:ind w:firstLine="630" w:firstLineChars="300"/>
        <w:rPr>
          <w:rFonts w:ascii="宋体" w:hAnsi="宋体"/>
          <w:color w:val="auto"/>
          <w:szCs w:val="21"/>
        </w:rPr>
      </w:pPr>
      <w:r>
        <w:rPr>
          <w:rFonts w:hint="eastAsia" w:ascii="宋体" w:hAnsi="宋体"/>
          <w:color w:val="auto"/>
          <w:szCs w:val="21"/>
        </w:rPr>
        <w:t xml:space="preserve">(3)安装、调试、验收规范； </w:t>
      </w:r>
    </w:p>
    <w:p>
      <w:pPr>
        <w:snapToGrid w:val="0"/>
        <w:spacing w:line="400" w:lineRule="exact"/>
        <w:ind w:firstLine="630" w:firstLineChars="300"/>
        <w:rPr>
          <w:rFonts w:ascii="宋体" w:hAnsi="宋体"/>
          <w:color w:val="auto"/>
          <w:szCs w:val="21"/>
        </w:rPr>
      </w:pPr>
      <w:r>
        <w:rPr>
          <w:rFonts w:hint="eastAsia" w:ascii="宋体" w:hAnsi="宋体"/>
          <w:color w:val="auto"/>
          <w:szCs w:val="21"/>
        </w:rPr>
        <w:t>(4)安装调试说明书、使用说明书、操作手册、维护手册；</w:t>
      </w:r>
    </w:p>
    <w:p>
      <w:pPr>
        <w:snapToGrid w:val="0"/>
        <w:spacing w:line="400" w:lineRule="exact"/>
        <w:ind w:firstLine="630" w:firstLineChars="300"/>
        <w:rPr>
          <w:rFonts w:ascii="宋体" w:hAnsi="宋体"/>
          <w:color w:val="auto"/>
          <w:szCs w:val="21"/>
        </w:rPr>
      </w:pPr>
      <w:r>
        <w:rPr>
          <w:rFonts w:hint="eastAsia" w:ascii="宋体" w:hAnsi="宋体"/>
          <w:color w:val="auto"/>
          <w:szCs w:val="21"/>
        </w:rPr>
        <w:t>(5)需通过计量的货物必须提供国家有关计量部门颁发的计量许可证；</w:t>
      </w:r>
    </w:p>
    <w:p>
      <w:pPr>
        <w:snapToGrid w:val="0"/>
        <w:spacing w:line="400" w:lineRule="exact"/>
        <w:ind w:firstLine="630" w:firstLineChars="300"/>
        <w:rPr>
          <w:rFonts w:ascii="宋体" w:hAnsi="宋体"/>
          <w:color w:val="auto"/>
          <w:szCs w:val="21"/>
        </w:rPr>
      </w:pPr>
      <w:r>
        <w:rPr>
          <w:rFonts w:hint="eastAsia" w:ascii="宋体" w:hAnsi="宋体"/>
          <w:color w:val="auto"/>
          <w:szCs w:val="21"/>
        </w:rPr>
        <w:t>(6)其他有关技术资料等。</w:t>
      </w:r>
    </w:p>
    <w:p>
      <w:pPr>
        <w:widowControl/>
        <w:snapToGrid w:val="0"/>
        <w:spacing w:line="400" w:lineRule="exact"/>
        <w:ind w:firstLine="420" w:firstLineChars="200"/>
        <w:jc w:val="left"/>
        <w:rPr>
          <w:rFonts w:ascii="宋体" w:hAnsi="宋体" w:cs="Arial"/>
          <w:color w:val="auto"/>
          <w:kern w:val="0"/>
          <w:szCs w:val="21"/>
        </w:rPr>
      </w:pPr>
      <w:r>
        <w:rPr>
          <w:rFonts w:hint="eastAsia" w:ascii="宋体" w:hAnsi="宋体"/>
          <w:bCs/>
          <w:color w:val="auto"/>
          <w:szCs w:val="21"/>
        </w:rPr>
        <w:t>如上述资料不完整或丢失，</w:t>
      </w:r>
      <w:r>
        <w:rPr>
          <w:rFonts w:hint="eastAsia" w:ascii="宋体" w:hAnsi="宋体" w:cs="Arial"/>
          <w:color w:val="auto"/>
          <w:kern w:val="0"/>
          <w:szCs w:val="21"/>
        </w:rPr>
        <w:t>乙</w:t>
      </w:r>
      <w:r>
        <w:rPr>
          <w:rFonts w:hint="eastAsia" w:ascii="宋体" w:hAnsi="宋体"/>
          <w:bCs/>
          <w:color w:val="auto"/>
          <w:szCs w:val="21"/>
        </w:rPr>
        <w:t>方应在收到</w:t>
      </w:r>
      <w:r>
        <w:rPr>
          <w:rFonts w:hint="eastAsia" w:ascii="宋体" w:hAnsi="宋体" w:cs="Arial"/>
          <w:color w:val="auto"/>
          <w:kern w:val="0"/>
          <w:szCs w:val="21"/>
        </w:rPr>
        <w:t>甲</w:t>
      </w:r>
      <w:r>
        <w:rPr>
          <w:rFonts w:hint="eastAsia" w:ascii="宋体" w:hAnsi="宋体"/>
          <w:bCs/>
          <w:color w:val="auto"/>
          <w:szCs w:val="21"/>
        </w:rPr>
        <w:t>方通知后及时免费提供。</w:t>
      </w:r>
      <w:r>
        <w:rPr>
          <w:rFonts w:hint="eastAsia" w:ascii="宋体" w:hAnsi="宋体" w:cs="Arial"/>
          <w:color w:val="auto"/>
          <w:kern w:val="0"/>
          <w:szCs w:val="21"/>
        </w:rPr>
        <w:t xml:space="preserve"> </w:t>
      </w:r>
    </w:p>
    <w:p>
      <w:pPr>
        <w:widowControl/>
        <w:spacing w:beforeLines="50" w:line="360" w:lineRule="auto"/>
        <w:jc w:val="left"/>
        <w:rPr>
          <w:rFonts w:ascii="宋体" w:hAnsi="宋体" w:cs="Arial"/>
          <w:color w:val="auto"/>
          <w:kern w:val="0"/>
          <w:sz w:val="18"/>
          <w:szCs w:val="18"/>
        </w:rPr>
      </w:pPr>
      <w:r>
        <w:rPr>
          <w:rFonts w:hint="eastAsia" w:ascii="宋体" w:hAnsi="宋体" w:cs="Arial"/>
          <w:b/>
          <w:bCs/>
          <w:color w:val="auto"/>
          <w:kern w:val="0"/>
          <w:sz w:val="24"/>
        </w:rPr>
        <w:t>七、违约责任</w:t>
      </w:r>
    </w:p>
    <w:p>
      <w:pPr>
        <w:widowControl/>
        <w:snapToGrid w:val="0"/>
        <w:spacing w:line="400" w:lineRule="exact"/>
        <w:ind w:firstLine="420" w:firstLineChars="200"/>
        <w:jc w:val="left"/>
        <w:rPr>
          <w:rFonts w:ascii="宋体" w:hAnsi="宋体" w:cs="Arial"/>
          <w:color w:val="auto"/>
          <w:kern w:val="0"/>
          <w:szCs w:val="21"/>
        </w:rPr>
      </w:pPr>
      <w:r>
        <w:rPr>
          <w:rFonts w:hint="eastAsia" w:ascii="宋体" w:hAnsi="宋体" w:cs="Arial"/>
          <w:color w:val="auto"/>
          <w:kern w:val="0"/>
          <w:szCs w:val="21"/>
        </w:rPr>
        <w:t>1、在履行合同过程中，如果乙方遇到不能按时交货和提供服务的情况，应及时以书面形式将不能按时交货的理由、延误时间通知甲方。甲方在收到乙方通知后，如果同意，可通过签订补充协议，酌情延长交货时间。</w:t>
      </w:r>
    </w:p>
    <w:p>
      <w:pPr>
        <w:widowControl/>
        <w:spacing w:line="400" w:lineRule="exact"/>
        <w:ind w:firstLine="420" w:firstLineChars="200"/>
        <w:jc w:val="left"/>
        <w:rPr>
          <w:rFonts w:ascii="宋体" w:hAnsi="宋体" w:cs="Arial"/>
          <w:color w:val="auto"/>
          <w:kern w:val="0"/>
          <w:szCs w:val="21"/>
        </w:rPr>
      </w:pPr>
      <w:r>
        <w:rPr>
          <w:rFonts w:hint="eastAsia" w:ascii="宋体" w:hAnsi="宋体" w:cs="Arial"/>
          <w:color w:val="auto"/>
          <w:kern w:val="0"/>
          <w:szCs w:val="21"/>
        </w:rPr>
        <w:t>2、如果乙方没有按照合同规定的时间交货和提供服务，同时又没有征得</w:t>
      </w:r>
      <w:r>
        <w:rPr>
          <w:rFonts w:hint="eastAsia" w:ascii="宋体" w:hAnsi="宋体"/>
          <w:color w:val="auto"/>
        </w:rPr>
        <w:t>甲方同意</w:t>
      </w:r>
      <w:r>
        <w:rPr>
          <w:rFonts w:hint="eastAsia" w:ascii="宋体" w:hAnsi="宋体" w:cs="Arial"/>
          <w:color w:val="auto"/>
          <w:kern w:val="0"/>
          <w:szCs w:val="21"/>
        </w:rPr>
        <w:t>延长交货时间，甲方可从货款中扣除违约赔偿费，赔偿费应按每迟交一周，按合同总价的0.5%计收。但违约赔偿费的最高限额为迟交货物或没有提供服务的合同价的5%。一周按7天计算，不足7天按一周计算。如果乙方在达到最高限额后仍不能交货，甲方可考虑终止合同。</w:t>
      </w:r>
    </w:p>
    <w:p>
      <w:pPr>
        <w:widowControl/>
        <w:spacing w:line="400" w:lineRule="exact"/>
        <w:ind w:firstLine="420" w:firstLineChars="200"/>
        <w:jc w:val="left"/>
        <w:rPr>
          <w:rFonts w:ascii="宋体" w:hAnsi="宋体" w:cs="Arial"/>
          <w:color w:val="auto"/>
          <w:kern w:val="0"/>
          <w:szCs w:val="21"/>
        </w:rPr>
      </w:pPr>
      <w:r>
        <w:rPr>
          <w:rFonts w:hint="eastAsia" w:ascii="宋体" w:hAnsi="宋体" w:cs="Arial"/>
          <w:color w:val="auto"/>
          <w:kern w:val="0"/>
          <w:szCs w:val="21"/>
        </w:rPr>
        <w:t>3、如果乙方无正当理由拖延交货，将受到以下制裁：加收违约损失赔偿或终止合同。</w:t>
      </w:r>
    </w:p>
    <w:p>
      <w:pPr>
        <w:widowControl/>
        <w:spacing w:line="400" w:lineRule="exact"/>
        <w:ind w:firstLine="420" w:firstLineChars="200"/>
        <w:jc w:val="left"/>
        <w:rPr>
          <w:rFonts w:ascii="宋体" w:hAnsi="宋体"/>
          <w:color w:val="auto"/>
        </w:rPr>
      </w:pPr>
      <w:r>
        <w:rPr>
          <w:rFonts w:hint="eastAsia" w:ascii="宋体" w:hAnsi="宋体"/>
          <w:color w:val="auto"/>
        </w:rPr>
        <w:t>4、如</w:t>
      </w:r>
      <w:r>
        <w:rPr>
          <w:rFonts w:hint="eastAsia" w:ascii="宋体" w:hAnsi="宋体" w:cs="Arial"/>
          <w:color w:val="auto"/>
          <w:kern w:val="0"/>
        </w:rPr>
        <w:t>乙方</w:t>
      </w:r>
      <w:r>
        <w:rPr>
          <w:rFonts w:hint="eastAsia" w:ascii="宋体" w:hAnsi="宋体"/>
          <w:color w:val="auto"/>
        </w:rPr>
        <w:t>所提供的货物的生产厂家、型号、规格、质量等不符合合同规定标准或发现有更换原装配置的，</w:t>
      </w:r>
      <w:r>
        <w:rPr>
          <w:rFonts w:hint="eastAsia" w:ascii="宋体" w:hAnsi="宋体" w:cs="Arial"/>
          <w:color w:val="auto"/>
          <w:kern w:val="0"/>
        </w:rPr>
        <w:t>甲方</w:t>
      </w:r>
      <w:r>
        <w:rPr>
          <w:rFonts w:hint="eastAsia" w:ascii="宋体" w:hAnsi="宋体"/>
          <w:color w:val="auto"/>
        </w:rPr>
        <w:t>有权拒收，</w:t>
      </w:r>
      <w:r>
        <w:rPr>
          <w:rFonts w:hint="eastAsia" w:ascii="宋体" w:hAnsi="宋体" w:cs="Arial"/>
          <w:color w:val="auto"/>
          <w:kern w:val="0"/>
        </w:rPr>
        <w:t>乙方</w:t>
      </w:r>
      <w:r>
        <w:rPr>
          <w:rFonts w:hint="eastAsia" w:ascii="宋体" w:hAnsi="宋体"/>
          <w:color w:val="auto"/>
        </w:rPr>
        <w:t>应及时予以更换或退货（如有预付款，应同时退还</w:t>
      </w:r>
      <w:r>
        <w:rPr>
          <w:rFonts w:hint="eastAsia" w:ascii="宋体" w:hAnsi="宋体" w:cs="Arial"/>
          <w:color w:val="auto"/>
          <w:kern w:val="0"/>
        </w:rPr>
        <w:t>甲方的货</w:t>
      </w:r>
      <w:r>
        <w:rPr>
          <w:rFonts w:hint="eastAsia" w:ascii="宋体" w:hAnsi="宋体"/>
          <w:color w:val="auto"/>
        </w:rPr>
        <w:t>款），并承担由此而发生的一切损失和费用。否则，甲方有权向乙方提出索赔。</w:t>
      </w:r>
    </w:p>
    <w:p>
      <w:pPr>
        <w:widowControl/>
        <w:spacing w:line="400" w:lineRule="exact"/>
        <w:ind w:firstLine="420" w:firstLineChars="200"/>
        <w:jc w:val="left"/>
        <w:rPr>
          <w:rFonts w:ascii="宋体" w:hAnsi="宋体"/>
          <w:color w:val="auto"/>
        </w:rPr>
      </w:pPr>
      <w:r>
        <w:rPr>
          <w:rFonts w:hint="eastAsia" w:ascii="宋体" w:hAnsi="宋体"/>
          <w:color w:val="auto"/>
        </w:rPr>
        <w:t>5、在甲方发出索赔通知后30天内，如乙方未作答复，视为甲方提出的索赔要求已被乙方接受。如乙方未能在甲方提出索赔通知后30天内或甲方同意的更长时间内解决索赔事宜，甲方将从合同款中扣回索赔金额。如果这些金额不足以补偿索赔金额，甲方有权向乙方提出不足部分的补偿。</w:t>
      </w:r>
      <w:bookmarkStart w:id="205" w:name="_Toc334110209"/>
    </w:p>
    <w:p>
      <w:pPr>
        <w:widowControl/>
        <w:spacing w:beforeLines="50" w:line="400" w:lineRule="exact"/>
        <w:jc w:val="left"/>
        <w:rPr>
          <w:rFonts w:ascii="宋体" w:hAnsi="宋体"/>
          <w:color w:val="auto"/>
        </w:rPr>
      </w:pPr>
      <w:r>
        <w:rPr>
          <w:rFonts w:hint="eastAsia" w:ascii="宋体" w:hAnsi="宋体"/>
          <w:b/>
          <w:color w:val="auto"/>
          <w:sz w:val="24"/>
        </w:rPr>
        <w:t>八、不可抗力</w:t>
      </w:r>
      <w:bookmarkEnd w:id="205"/>
    </w:p>
    <w:p>
      <w:pPr>
        <w:pStyle w:val="18"/>
        <w:adjustRightInd w:val="0"/>
        <w:snapToGrid w:val="0"/>
        <w:spacing w:line="400" w:lineRule="exact"/>
        <w:ind w:firstLine="420" w:firstLineChars="200"/>
        <w:rPr>
          <w:rFonts w:ascii="宋体" w:hAnsi="宋体"/>
          <w:bCs/>
          <w:color w:val="auto"/>
          <w:sz w:val="21"/>
          <w:szCs w:val="21"/>
        </w:rPr>
      </w:pPr>
      <w:r>
        <w:rPr>
          <w:rFonts w:hint="eastAsia" w:ascii="宋体" w:hAnsi="宋体"/>
          <w:bCs/>
          <w:color w:val="auto"/>
          <w:sz w:val="21"/>
          <w:szCs w:val="21"/>
        </w:rPr>
        <w:t>1、如果双方中任何一方由于战争、严重火灾、水灾、台风和地震以及其它经双方同意属于不可抗力的事故，致使合同履行受阻时，履行合同的期限应予延长，延长的期限应相当于事故所影响的时间。</w:t>
      </w:r>
    </w:p>
    <w:p>
      <w:pPr>
        <w:widowControl/>
        <w:spacing w:line="400" w:lineRule="exact"/>
        <w:ind w:firstLine="420" w:firstLineChars="200"/>
        <w:jc w:val="left"/>
        <w:rPr>
          <w:rFonts w:ascii="宋体" w:hAnsi="宋体"/>
          <w:color w:val="auto"/>
        </w:rPr>
      </w:pPr>
      <w:r>
        <w:rPr>
          <w:rFonts w:hint="eastAsia" w:ascii="宋体" w:hAnsi="宋体"/>
          <w:color w:val="auto"/>
        </w:rPr>
        <w:t>2、受事故影响的一方应在不可抗力的事故发生后尽快以书面形式通知另一方，并在事故发生后14天内，将有关部门出具的证明文件用快递寄给或送给另一方。如果不可抗力影响时间延续40天以上的，双方应通过友好协商在合理的时间内达成进一步履行合同的协议。</w:t>
      </w:r>
      <w:bookmarkStart w:id="206" w:name="_Toc334110211"/>
    </w:p>
    <w:p>
      <w:pPr>
        <w:pStyle w:val="18"/>
        <w:adjustRightInd w:val="0"/>
        <w:snapToGrid w:val="0"/>
        <w:spacing w:line="400" w:lineRule="exact"/>
        <w:rPr>
          <w:rFonts w:ascii="宋体" w:hAnsi="宋体"/>
          <w:bCs/>
          <w:color w:val="auto"/>
          <w:sz w:val="21"/>
          <w:szCs w:val="21"/>
        </w:rPr>
      </w:pPr>
      <w:r>
        <w:rPr>
          <w:rFonts w:hint="eastAsia" w:ascii="宋体" w:hAnsi="宋体"/>
          <w:b/>
          <w:color w:val="auto"/>
        </w:rPr>
        <w:t>九、</w:t>
      </w:r>
      <w:bookmarkEnd w:id="206"/>
      <w:r>
        <w:rPr>
          <w:rFonts w:hint="eastAsia" w:ascii="宋体" w:hAnsi="宋体"/>
          <w:b/>
          <w:color w:val="auto"/>
          <w:szCs w:val="24"/>
        </w:rPr>
        <w:t>合同终止</w:t>
      </w:r>
    </w:p>
    <w:p>
      <w:pPr>
        <w:pStyle w:val="18"/>
        <w:adjustRightInd w:val="0"/>
        <w:snapToGrid w:val="0"/>
        <w:spacing w:line="400" w:lineRule="exact"/>
        <w:ind w:firstLine="315" w:firstLineChars="150"/>
        <w:rPr>
          <w:rFonts w:ascii="宋体" w:hAnsi="宋体"/>
          <w:color w:val="auto"/>
          <w:sz w:val="21"/>
          <w:szCs w:val="21"/>
        </w:rPr>
      </w:pPr>
      <w:r>
        <w:rPr>
          <w:rFonts w:hint="eastAsia" w:ascii="宋体" w:hAnsi="宋体"/>
          <w:color w:val="auto"/>
          <w:sz w:val="21"/>
          <w:szCs w:val="21"/>
        </w:rPr>
        <w:t>1、</w:t>
      </w:r>
      <w:r>
        <w:rPr>
          <w:rFonts w:hint="eastAsia" w:ascii="宋体" w:hAnsi="宋体"/>
          <w:bCs/>
          <w:color w:val="auto"/>
          <w:sz w:val="21"/>
          <w:szCs w:val="21"/>
        </w:rPr>
        <w:t>除不可抗力的原因外，乙方在履行合同的过程中出现以下违约情况之一时，</w:t>
      </w:r>
      <w:r>
        <w:rPr>
          <w:rFonts w:hint="eastAsia" w:ascii="宋体" w:hAnsi="宋体"/>
          <w:color w:val="auto"/>
          <w:sz w:val="21"/>
          <w:szCs w:val="21"/>
        </w:rPr>
        <w:t>甲方可向乙方发出书面通知，终止部分或全部合同，且</w:t>
      </w:r>
      <w:r>
        <w:rPr>
          <w:rFonts w:hint="eastAsia" w:ascii="宋体" w:hAnsi="宋体"/>
          <w:bCs/>
          <w:color w:val="auto"/>
          <w:sz w:val="21"/>
          <w:szCs w:val="21"/>
        </w:rPr>
        <w:t>不影响甲方向乙方提出索赔。</w:t>
      </w:r>
    </w:p>
    <w:p>
      <w:pPr>
        <w:pStyle w:val="18"/>
        <w:adjustRightInd w:val="0"/>
        <w:snapToGrid w:val="0"/>
        <w:spacing w:line="400" w:lineRule="exact"/>
        <w:ind w:firstLine="210" w:firstLineChars="100"/>
        <w:rPr>
          <w:rFonts w:ascii="宋体" w:hAnsi="宋体"/>
          <w:color w:val="auto"/>
          <w:sz w:val="21"/>
          <w:szCs w:val="21"/>
        </w:rPr>
      </w:pPr>
      <w:r>
        <w:rPr>
          <w:rFonts w:hint="eastAsia" w:ascii="宋体" w:hAnsi="宋体"/>
          <w:color w:val="auto"/>
          <w:sz w:val="21"/>
          <w:szCs w:val="21"/>
        </w:rPr>
        <w:t>（1）乙方未能在合同规定的限期或甲方同意延长的限期内提供全部或部分货物。</w:t>
      </w:r>
    </w:p>
    <w:p>
      <w:pPr>
        <w:pStyle w:val="18"/>
        <w:adjustRightInd w:val="0"/>
        <w:snapToGrid w:val="0"/>
        <w:spacing w:line="400" w:lineRule="exact"/>
        <w:ind w:firstLine="210" w:firstLineChars="100"/>
        <w:rPr>
          <w:rFonts w:ascii="宋体" w:hAnsi="宋体"/>
          <w:color w:val="auto"/>
          <w:sz w:val="21"/>
          <w:szCs w:val="21"/>
        </w:rPr>
      </w:pPr>
      <w:r>
        <w:rPr>
          <w:rFonts w:hint="eastAsia" w:ascii="宋体" w:hAnsi="宋体"/>
          <w:color w:val="auto"/>
          <w:sz w:val="21"/>
          <w:szCs w:val="21"/>
        </w:rPr>
        <w:t>（2）乙方未能履行合同规定的其它义务，在收到甲方发出的违约通知后3天内，或经甲方书面认可同意延长的时间内未能纠正其过失。</w:t>
      </w:r>
    </w:p>
    <w:p>
      <w:pPr>
        <w:pStyle w:val="18"/>
        <w:adjustRightInd w:val="0"/>
        <w:snapToGrid w:val="0"/>
        <w:spacing w:line="400" w:lineRule="exact"/>
        <w:ind w:firstLine="420" w:firstLineChars="200"/>
        <w:rPr>
          <w:rFonts w:ascii="宋体" w:hAnsi="宋体"/>
          <w:bCs/>
          <w:color w:val="auto"/>
          <w:sz w:val="21"/>
          <w:szCs w:val="21"/>
        </w:rPr>
      </w:pPr>
      <w:r>
        <w:rPr>
          <w:rFonts w:hint="eastAsia" w:ascii="宋体" w:hAnsi="宋体"/>
          <w:bCs/>
          <w:color w:val="auto"/>
          <w:sz w:val="21"/>
          <w:szCs w:val="21"/>
        </w:rPr>
        <w:t>2、根据上述条款规定终止的全部或部分合同，甲方可以依其认为适当的条件和方法购买与未交货物类似的货物，乙方应对购买类似货物所超出的费用负责，且乙方应继续执行合同中未终止的部分。</w:t>
      </w:r>
    </w:p>
    <w:p>
      <w:pPr>
        <w:pStyle w:val="18"/>
        <w:adjustRightInd w:val="0"/>
        <w:snapToGrid w:val="0"/>
        <w:spacing w:line="400" w:lineRule="exact"/>
        <w:ind w:firstLine="420" w:firstLineChars="200"/>
        <w:rPr>
          <w:rFonts w:ascii="宋体" w:hAnsi="宋体"/>
          <w:bCs/>
          <w:color w:val="auto"/>
          <w:sz w:val="21"/>
          <w:szCs w:val="21"/>
        </w:rPr>
      </w:pPr>
      <w:r>
        <w:rPr>
          <w:rFonts w:hint="eastAsia" w:ascii="宋体" w:hAnsi="宋体"/>
          <w:bCs/>
          <w:color w:val="auto"/>
          <w:sz w:val="21"/>
          <w:szCs w:val="21"/>
        </w:rPr>
        <w:t>3、如果乙方破产或无清偿能力时，甲方可在任何时候以书面形式通知乙方终止合同，终止合同将不损害或影响甲方已经采取或将要采取补救措施的权利。</w:t>
      </w:r>
    </w:p>
    <w:p>
      <w:pPr>
        <w:widowControl/>
        <w:spacing w:beforeLines="50" w:line="400" w:lineRule="exact"/>
        <w:jc w:val="left"/>
        <w:rPr>
          <w:rFonts w:ascii="宋体" w:hAnsi="宋体" w:cs="Arial"/>
          <w:color w:val="auto"/>
          <w:kern w:val="0"/>
          <w:szCs w:val="21"/>
        </w:rPr>
      </w:pPr>
      <w:r>
        <w:rPr>
          <w:rFonts w:hint="eastAsia" w:ascii="宋体" w:hAnsi="宋体" w:cs="Arial"/>
          <w:b/>
          <w:bCs/>
          <w:color w:val="auto"/>
          <w:kern w:val="0"/>
          <w:sz w:val="24"/>
        </w:rPr>
        <w:t>十、</w:t>
      </w:r>
      <w:r>
        <w:rPr>
          <w:rFonts w:hint="eastAsia" w:ascii="宋体" w:hAnsi="宋体"/>
          <w:b/>
          <w:color w:val="auto"/>
        </w:rPr>
        <w:t>合同纠纷解决方式</w:t>
      </w:r>
    </w:p>
    <w:p>
      <w:pPr>
        <w:adjustRightInd w:val="0"/>
        <w:snapToGrid w:val="0"/>
        <w:spacing w:beforeLines="50" w:line="360" w:lineRule="auto"/>
        <w:ind w:firstLine="840" w:firstLineChars="400"/>
        <w:rPr>
          <w:rFonts w:ascii="宋体" w:hAnsi="宋体"/>
          <w:color w:val="auto"/>
          <w:sz w:val="24"/>
        </w:rPr>
      </w:pPr>
      <w:r>
        <w:rPr>
          <w:rFonts w:hint="eastAsia" w:ascii="宋体" w:hAnsi="宋体" w:cs="宋体"/>
          <w:color w:val="auto"/>
          <w:kern w:val="0"/>
          <w:szCs w:val="21"/>
        </w:rPr>
        <w:t>甲</w:t>
      </w:r>
      <w:r>
        <w:rPr>
          <w:rFonts w:hint="eastAsia" w:ascii="宋体" w:hAnsi="宋体" w:cs="宋体"/>
          <w:color w:val="auto"/>
          <w:szCs w:val="21"/>
        </w:rPr>
        <w:t>、</w:t>
      </w:r>
      <w:r>
        <w:rPr>
          <w:rFonts w:hint="eastAsia" w:ascii="宋体" w:hAnsi="宋体" w:cs="宋体"/>
          <w:color w:val="auto"/>
          <w:kern w:val="0"/>
          <w:szCs w:val="21"/>
        </w:rPr>
        <w:t>乙双方应通过友好协商，解决在执行本合同中所发生的或与本合同有关的一切争端，如果协商仍得不到解决，</w:t>
      </w:r>
      <w:r>
        <w:rPr>
          <w:rFonts w:hint="eastAsia" w:ascii="宋体" w:hAnsi="宋体"/>
          <w:color w:val="auto"/>
          <w:sz w:val="24"/>
        </w:rPr>
        <w:t>则通过向人民法院提起诉讼解决纠纷。</w:t>
      </w:r>
    </w:p>
    <w:p>
      <w:pPr>
        <w:widowControl/>
        <w:spacing w:beforeLines="50" w:line="360" w:lineRule="auto"/>
        <w:jc w:val="left"/>
        <w:rPr>
          <w:rFonts w:ascii="宋体" w:hAnsi="宋体" w:cs="Arial"/>
          <w:color w:val="auto"/>
          <w:kern w:val="0"/>
          <w:sz w:val="18"/>
          <w:szCs w:val="18"/>
        </w:rPr>
      </w:pPr>
      <w:r>
        <w:rPr>
          <w:rFonts w:hint="eastAsia" w:ascii="宋体" w:hAnsi="宋体" w:cs="Arial"/>
          <w:b/>
          <w:bCs/>
          <w:color w:val="auto"/>
          <w:kern w:val="0"/>
          <w:sz w:val="24"/>
        </w:rPr>
        <w:t>十一、合同生效及其它</w:t>
      </w:r>
    </w:p>
    <w:p>
      <w:pPr>
        <w:widowControl/>
        <w:spacing w:line="400" w:lineRule="exact"/>
        <w:ind w:firstLine="420" w:firstLineChars="200"/>
        <w:jc w:val="left"/>
        <w:rPr>
          <w:rFonts w:ascii="宋体" w:hAnsi="宋体" w:cs="Arial"/>
          <w:color w:val="auto"/>
          <w:kern w:val="0"/>
          <w:szCs w:val="21"/>
        </w:rPr>
      </w:pPr>
      <w:r>
        <w:rPr>
          <w:rFonts w:hint="eastAsia" w:ascii="宋体" w:hAnsi="宋体" w:cs="Arial"/>
          <w:color w:val="auto"/>
          <w:kern w:val="0"/>
          <w:szCs w:val="21"/>
        </w:rPr>
        <w:t>1、本合同自甲</w:t>
      </w:r>
      <w:r>
        <w:rPr>
          <w:rFonts w:hint="eastAsia" w:ascii="宋体" w:hAnsi="宋体"/>
          <w:color w:val="auto"/>
          <w:szCs w:val="21"/>
        </w:rPr>
        <w:t>、</w:t>
      </w:r>
      <w:r>
        <w:rPr>
          <w:rFonts w:hint="eastAsia" w:ascii="宋体" w:hAnsi="宋体" w:cs="Arial"/>
          <w:color w:val="auto"/>
          <w:kern w:val="0"/>
          <w:szCs w:val="21"/>
        </w:rPr>
        <w:t>乙双方签字盖章之日起生效。</w:t>
      </w:r>
    </w:p>
    <w:p>
      <w:pPr>
        <w:widowControl/>
        <w:spacing w:line="400" w:lineRule="exact"/>
        <w:ind w:firstLine="420" w:firstLineChars="200"/>
        <w:jc w:val="left"/>
        <w:rPr>
          <w:rFonts w:ascii="宋体" w:hAnsi="宋体" w:cs="Arial"/>
          <w:color w:val="auto"/>
          <w:kern w:val="0"/>
          <w:sz w:val="18"/>
          <w:szCs w:val="18"/>
        </w:rPr>
      </w:pPr>
      <w:r>
        <w:rPr>
          <w:rFonts w:hint="eastAsia" w:ascii="宋体" w:hAnsi="宋体" w:cs="Arial"/>
          <w:color w:val="auto"/>
          <w:kern w:val="0"/>
          <w:szCs w:val="21"/>
        </w:rPr>
        <w:t>2、本合同一式六份，甲方四份、乙方二份，具有同等法律效力。</w:t>
      </w:r>
    </w:p>
    <w:p>
      <w:pPr>
        <w:widowControl/>
        <w:spacing w:line="400" w:lineRule="exact"/>
        <w:ind w:firstLine="420" w:firstLineChars="200"/>
        <w:jc w:val="left"/>
        <w:rPr>
          <w:rFonts w:ascii="宋体" w:hAnsi="宋体" w:cs="Arial"/>
          <w:color w:val="auto"/>
          <w:kern w:val="0"/>
          <w:szCs w:val="21"/>
        </w:rPr>
      </w:pPr>
      <w:r>
        <w:rPr>
          <w:rFonts w:hint="eastAsia" w:ascii="宋体" w:hAnsi="宋体" w:cs="Arial"/>
          <w:color w:val="auto"/>
          <w:kern w:val="0"/>
          <w:szCs w:val="21"/>
        </w:rPr>
        <w:t>3、本合同货物的供货技术规格书、招标文件、投标文件及其附件、询标答疑书及</w:t>
      </w:r>
      <w:r>
        <w:rPr>
          <w:rFonts w:hint="eastAsia" w:ascii="宋体" w:hAnsi="宋体"/>
          <w:color w:val="auto"/>
        </w:rPr>
        <w:t>中标通知书等</w:t>
      </w:r>
      <w:r>
        <w:rPr>
          <w:rFonts w:hint="eastAsia" w:ascii="宋体" w:hAnsi="宋体" w:cs="Arial"/>
          <w:color w:val="auto"/>
          <w:kern w:val="0"/>
          <w:szCs w:val="21"/>
        </w:rPr>
        <w:t>作为本合同附件，具有与本合同同等法律效力。</w:t>
      </w:r>
    </w:p>
    <w:p>
      <w:pPr>
        <w:pStyle w:val="18"/>
        <w:adjustRightInd w:val="0"/>
        <w:snapToGrid w:val="0"/>
        <w:spacing w:line="400" w:lineRule="exact"/>
        <w:ind w:firstLine="480" w:firstLineChars="200"/>
        <w:rPr>
          <w:rFonts w:ascii="宋体" w:hAnsi="宋体"/>
          <w:bCs/>
          <w:color w:val="auto"/>
          <w:sz w:val="21"/>
          <w:szCs w:val="21"/>
        </w:rPr>
      </w:pPr>
      <w:r>
        <w:rPr>
          <w:rFonts w:hint="eastAsia" w:ascii="宋体" w:hAnsi="宋体" w:cs="Arial"/>
          <w:color w:val="auto"/>
          <w:kern w:val="0"/>
          <w:szCs w:val="21"/>
        </w:rPr>
        <w:t>4、</w:t>
      </w:r>
      <w:r>
        <w:rPr>
          <w:rFonts w:hint="eastAsia" w:ascii="宋体" w:hAnsi="宋体"/>
          <w:bCs/>
          <w:color w:val="auto"/>
          <w:sz w:val="21"/>
          <w:szCs w:val="21"/>
        </w:rPr>
        <w:t>本合同</w:t>
      </w:r>
      <w:r>
        <w:rPr>
          <w:rFonts w:hint="eastAsia" w:ascii="宋体" w:hAnsi="宋体" w:cs="Arial"/>
          <w:color w:val="auto"/>
          <w:kern w:val="0"/>
          <w:sz w:val="21"/>
          <w:szCs w:val="21"/>
        </w:rPr>
        <w:t>甲</w:t>
      </w:r>
      <w:r>
        <w:rPr>
          <w:rFonts w:hint="eastAsia" w:ascii="宋体" w:hAnsi="宋体"/>
          <w:color w:val="auto"/>
          <w:sz w:val="21"/>
          <w:szCs w:val="21"/>
        </w:rPr>
        <w:t>、</w:t>
      </w:r>
      <w:r>
        <w:rPr>
          <w:rFonts w:hint="eastAsia" w:ascii="宋体" w:hAnsi="宋体" w:cs="Arial"/>
          <w:color w:val="auto"/>
          <w:kern w:val="0"/>
          <w:sz w:val="21"/>
          <w:szCs w:val="21"/>
        </w:rPr>
        <w:t>乙</w:t>
      </w:r>
      <w:r>
        <w:rPr>
          <w:rFonts w:hint="eastAsia" w:ascii="宋体" w:hAnsi="宋体"/>
          <w:bCs/>
          <w:color w:val="auto"/>
          <w:sz w:val="21"/>
          <w:szCs w:val="21"/>
        </w:rPr>
        <w:t>双方之间的通知等，都应以书面的形式发送和确认。</w:t>
      </w:r>
    </w:p>
    <w:p>
      <w:pPr>
        <w:pStyle w:val="18"/>
        <w:adjustRightInd w:val="0"/>
        <w:snapToGrid w:val="0"/>
        <w:spacing w:line="400" w:lineRule="exact"/>
        <w:ind w:firstLine="480" w:firstLineChars="200"/>
        <w:rPr>
          <w:rFonts w:ascii="宋体" w:hAnsi="宋体" w:cs="Arial"/>
          <w:color w:val="auto"/>
          <w:kern w:val="0"/>
          <w:szCs w:val="21"/>
        </w:rPr>
      </w:pPr>
    </w:p>
    <w:p>
      <w:pPr>
        <w:widowControl/>
        <w:spacing w:line="400" w:lineRule="exact"/>
        <w:ind w:firstLine="420" w:firstLineChars="200"/>
        <w:jc w:val="left"/>
        <w:rPr>
          <w:rFonts w:ascii="宋体" w:hAnsi="宋体" w:cs="Arial"/>
          <w:color w:val="auto"/>
          <w:kern w:val="0"/>
          <w:szCs w:val="21"/>
        </w:rPr>
      </w:pPr>
    </w:p>
    <w:p>
      <w:pPr>
        <w:spacing w:line="400" w:lineRule="exact"/>
        <w:ind w:firstLine="420" w:firstLineChars="200"/>
        <w:rPr>
          <w:rFonts w:ascii="宋体" w:hAnsi="宋体"/>
          <w:color w:val="auto"/>
        </w:rPr>
      </w:pPr>
      <w:r>
        <w:rPr>
          <w:rFonts w:hint="eastAsia" w:ascii="宋体" w:hAnsi="宋体"/>
          <w:color w:val="auto"/>
        </w:rPr>
        <w:t>甲      方：（公章）                  乙      方：（公章）</w:t>
      </w:r>
    </w:p>
    <w:p>
      <w:pPr>
        <w:spacing w:line="400" w:lineRule="exact"/>
        <w:ind w:firstLine="399" w:firstLineChars="150"/>
        <w:rPr>
          <w:rFonts w:ascii="宋体" w:hAnsi="宋体"/>
          <w:color w:val="auto"/>
        </w:rPr>
      </w:pPr>
      <w:r>
        <w:rPr>
          <w:rFonts w:hint="eastAsia" w:ascii="宋体" w:hAnsi="宋体"/>
          <w:color w:val="auto"/>
          <w:spacing w:val="28"/>
          <w:szCs w:val="21"/>
        </w:rPr>
        <w:t>单位地址：</w:t>
      </w:r>
      <w:r>
        <w:rPr>
          <w:rFonts w:hint="eastAsia" w:ascii="宋体" w:hAnsi="宋体"/>
          <w:color w:val="auto"/>
        </w:rPr>
        <w:t xml:space="preserve">                         </w:t>
      </w:r>
      <w:r>
        <w:rPr>
          <w:rFonts w:hint="eastAsia" w:ascii="宋体" w:hAnsi="宋体"/>
          <w:color w:val="auto"/>
          <w:spacing w:val="28"/>
          <w:szCs w:val="21"/>
        </w:rPr>
        <w:t>单位地址：</w:t>
      </w:r>
    </w:p>
    <w:p>
      <w:pPr>
        <w:spacing w:line="400" w:lineRule="exact"/>
        <w:ind w:firstLine="420" w:firstLineChars="200"/>
        <w:rPr>
          <w:rFonts w:ascii="宋体" w:hAnsi="宋体"/>
          <w:color w:val="auto"/>
        </w:rPr>
      </w:pPr>
      <w:r>
        <w:rPr>
          <w:rFonts w:hint="eastAsia" w:ascii="宋体" w:hAnsi="宋体"/>
          <w:color w:val="auto"/>
        </w:rPr>
        <w:t>委托代理人：                          委托代理人：</w:t>
      </w:r>
    </w:p>
    <w:p>
      <w:pPr>
        <w:spacing w:line="400" w:lineRule="exact"/>
        <w:ind w:left="-6" w:leftChars="-3" w:firstLine="399" w:firstLineChars="150"/>
        <w:rPr>
          <w:rFonts w:ascii="宋体" w:hAnsi="宋体"/>
          <w:color w:val="auto"/>
        </w:rPr>
      </w:pPr>
      <w:r>
        <w:rPr>
          <w:rFonts w:hint="eastAsia" w:ascii="宋体" w:hAnsi="宋体"/>
          <w:color w:val="auto"/>
          <w:spacing w:val="28"/>
          <w:szCs w:val="21"/>
        </w:rPr>
        <w:t>开户银行：</w:t>
      </w:r>
      <w:r>
        <w:rPr>
          <w:rFonts w:hint="eastAsia" w:ascii="宋体" w:hAnsi="宋体"/>
          <w:color w:val="auto"/>
        </w:rPr>
        <w:t xml:space="preserve">                         </w:t>
      </w:r>
      <w:r>
        <w:rPr>
          <w:rFonts w:hint="eastAsia" w:ascii="宋体" w:hAnsi="宋体"/>
          <w:color w:val="auto"/>
          <w:spacing w:val="28"/>
          <w:szCs w:val="21"/>
        </w:rPr>
        <w:t>开户银行：</w:t>
      </w:r>
    </w:p>
    <w:p>
      <w:pPr>
        <w:spacing w:line="400" w:lineRule="exact"/>
        <w:ind w:firstLine="420" w:firstLineChars="200"/>
        <w:rPr>
          <w:rFonts w:ascii="宋体" w:hAnsi="宋体"/>
          <w:color w:val="auto"/>
        </w:rPr>
      </w:pPr>
      <w:r>
        <w:rPr>
          <w:rFonts w:hint="eastAsia" w:ascii="宋体" w:hAnsi="宋体"/>
          <w:color w:val="auto"/>
        </w:rPr>
        <w:t>帐      号：                          帐      号：</w:t>
      </w:r>
    </w:p>
    <w:p>
      <w:pPr>
        <w:spacing w:line="400" w:lineRule="exact"/>
        <w:ind w:firstLine="420" w:firstLineChars="200"/>
        <w:rPr>
          <w:rFonts w:ascii="宋体" w:hAnsi="宋体"/>
          <w:color w:val="auto"/>
        </w:rPr>
      </w:pPr>
      <w:r>
        <w:rPr>
          <w:rFonts w:hint="eastAsia" w:ascii="宋体" w:hAnsi="宋体"/>
          <w:color w:val="auto"/>
        </w:rPr>
        <w:t>电      话：                          电      话：</w:t>
      </w:r>
    </w:p>
    <w:p>
      <w:pPr>
        <w:spacing w:line="400" w:lineRule="exact"/>
        <w:ind w:firstLine="420" w:firstLineChars="200"/>
        <w:rPr>
          <w:rFonts w:ascii="宋体" w:hAnsi="宋体"/>
          <w:color w:val="auto"/>
        </w:rPr>
      </w:pPr>
      <w:r>
        <w:rPr>
          <w:rFonts w:hint="eastAsia" w:ascii="宋体" w:hAnsi="宋体"/>
          <w:color w:val="auto"/>
        </w:rPr>
        <w:t>传      真：                          传      真：</w:t>
      </w:r>
    </w:p>
    <w:p>
      <w:pPr>
        <w:spacing w:line="400" w:lineRule="exact"/>
        <w:ind w:left="-6" w:leftChars="-3" w:firstLine="399" w:firstLineChars="150"/>
        <w:rPr>
          <w:rFonts w:ascii="宋体" w:hAnsi="宋体"/>
          <w:color w:val="auto"/>
        </w:rPr>
      </w:pPr>
      <w:r>
        <w:rPr>
          <w:rFonts w:hint="eastAsia" w:ascii="宋体" w:hAnsi="宋体"/>
          <w:color w:val="auto"/>
          <w:spacing w:val="28"/>
          <w:szCs w:val="21"/>
        </w:rPr>
        <w:t>邮政编码：</w:t>
      </w:r>
      <w:r>
        <w:rPr>
          <w:rFonts w:hint="eastAsia" w:ascii="宋体" w:hAnsi="宋体"/>
          <w:color w:val="auto"/>
        </w:rPr>
        <w:t xml:space="preserve">                         </w:t>
      </w:r>
      <w:r>
        <w:rPr>
          <w:rFonts w:hint="eastAsia" w:ascii="宋体" w:hAnsi="宋体"/>
          <w:color w:val="auto"/>
          <w:spacing w:val="28"/>
          <w:szCs w:val="21"/>
        </w:rPr>
        <w:t>邮政编码：</w:t>
      </w:r>
    </w:p>
    <w:p>
      <w:pPr>
        <w:widowControl/>
        <w:spacing w:line="400" w:lineRule="exact"/>
        <w:ind w:firstLine="399" w:firstLineChars="150"/>
        <w:jc w:val="left"/>
        <w:rPr>
          <w:rFonts w:ascii="宋体" w:hAnsi="宋体" w:cs="Arial"/>
          <w:color w:val="auto"/>
          <w:kern w:val="0"/>
          <w:szCs w:val="21"/>
        </w:rPr>
      </w:pPr>
      <w:r>
        <w:rPr>
          <w:rFonts w:hint="eastAsia" w:ascii="宋体" w:hAnsi="宋体"/>
          <w:color w:val="auto"/>
          <w:spacing w:val="28"/>
          <w:szCs w:val="21"/>
        </w:rPr>
        <w:t>签订时间：</w:t>
      </w:r>
      <w:r>
        <w:rPr>
          <w:rFonts w:hint="eastAsia" w:ascii="宋体" w:hAnsi="宋体"/>
          <w:color w:val="auto"/>
        </w:rPr>
        <w:t xml:space="preserve">    年   月   日         </w:t>
      </w:r>
      <w:r>
        <w:rPr>
          <w:rFonts w:hint="eastAsia" w:ascii="宋体" w:hAnsi="宋体"/>
          <w:color w:val="auto"/>
          <w:spacing w:val="28"/>
          <w:szCs w:val="21"/>
        </w:rPr>
        <w:t>签订时间：</w:t>
      </w:r>
      <w:r>
        <w:rPr>
          <w:rFonts w:hint="eastAsia" w:ascii="宋体" w:hAnsi="宋体"/>
          <w:color w:val="auto"/>
        </w:rPr>
        <w:t xml:space="preserve">    年   月   日</w:t>
      </w:r>
    </w:p>
    <w:p>
      <w:pPr>
        <w:spacing w:beforeLines="50" w:afterLines="50" w:line="340" w:lineRule="exact"/>
        <w:ind w:firstLine="420" w:firstLineChars="200"/>
        <w:rPr>
          <w:rFonts w:ascii="宋体" w:hAnsi="宋体"/>
          <w:b/>
          <w:color w:val="auto"/>
          <w:sz w:val="24"/>
        </w:rPr>
      </w:pPr>
      <w:r>
        <w:rPr>
          <w:rFonts w:hint="eastAsia" w:ascii="宋体" w:hAnsi="宋体"/>
          <w:color w:val="auto"/>
          <w:szCs w:val="21"/>
        </w:rPr>
        <w:t>本合同条款为基本要求，投标人必须满足以下条款的要求。在合同谈判时，采购人有权根据项目的特点增加与投标有关的内容。</w:t>
      </w:r>
    </w:p>
    <w:p>
      <w:pPr>
        <w:widowControl/>
        <w:spacing w:line="360" w:lineRule="auto"/>
        <w:jc w:val="left"/>
        <w:rPr>
          <w:rFonts w:ascii="宋体" w:hAnsi="宋体"/>
          <w:color w:val="auto"/>
        </w:rPr>
      </w:pPr>
    </w:p>
    <w:p>
      <w:pPr>
        <w:pStyle w:val="2"/>
        <w:keepNext w:val="0"/>
        <w:snapToGrid w:val="0"/>
        <w:rPr>
          <w:rFonts w:ascii="宋体" w:hAnsi="宋体" w:cs="仿宋"/>
          <w:b w:val="0"/>
          <w:color w:val="auto"/>
          <w:szCs w:val="44"/>
        </w:rPr>
        <w:sectPr>
          <w:headerReference r:id="rId10" w:type="default"/>
          <w:pgSz w:w="11906" w:h="16838"/>
          <w:pgMar w:top="1134" w:right="1134" w:bottom="1134" w:left="1134" w:header="851" w:footer="992" w:gutter="0"/>
          <w:cols w:space="720" w:num="1"/>
          <w:docGrid w:linePitch="312" w:charSpace="0"/>
        </w:sectPr>
      </w:pPr>
    </w:p>
    <w:p>
      <w:pPr>
        <w:pStyle w:val="4"/>
        <w:snapToGrid w:val="0"/>
        <w:spacing w:line="380" w:lineRule="atLeast"/>
        <w:ind w:left="803" w:hanging="803" w:hangingChars="250"/>
        <w:jc w:val="center"/>
        <w:rPr>
          <w:rFonts w:ascii="宋体" w:hAnsi="宋体"/>
          <w:color w:val="auto"/>
          <w:sz w:val="24"/>
        </w:rPr>
      </w:pPr>
      <w:r>
        <w:rPr>
          <w:rFonts w:hint="eastAsia" w:ascii="宋体" w:hAnsi="宋体"/>
          <w:color w:val="auto"/>
          <w:szCs w:val="32"/>
        </w:rPr>
        <w:t>第四章</w:t>
      </w:r>
      <w:r>
        <w:rPr>
          <w:rFonts w:ascii="宋体" w:hAnsi="宋体"/>
          <w:color w:val="auto"/>
          <w:szCs w:val="32"/>
        </w:rPr>
        <w:t xml:space="preserve"> </w:t>
      </w:r>
      <w:r>
        <w:rPr>
          <w:rFonts w:hint="eastAsia" w:ascii="宋体" w:hAnsi="宋体"/>
          <w:color w:val="auto"/>
          <w:szCs w:val="32"/>
        </w:rPr>
        <w:t>技术规格、参数与要求</w:t>
      </w:r>
    </w:p>
    <w:p>
      <w:pPr>
        <w:pStyle w:val="14"/>
        <w:spacing w:line="276" w:lineRule="auto"/>
        <w:ind w:firstLine="480"/>
        <w:rPr>
          <w:rFonts w:ascii="Calibri" w:hAnsi="宋体" w:cs="宋体"/>
          <w:color w:val="auto"/>
          <w:kern w:val="0"/>
          <w:sz w:val="28"/>
          <w:szCs w:val="28"/>
        </w:rPr>
      </w:pPr>
      <w:r>
        <w:rPr>
          <w:rFonts w:hint="eastAsia" w:ascii="Calibri" w:hAnsi="宋体" w:cs="宋体"/>
          <w:color w:val="auto"/>
          <w:kern w:val="0"/>
          <w:sz w:val="28"/>
          <w:szCs w:val="28"/>
        </w:rPr>
        <w:t>实验室废弃物暂存柜系统是由主柜体、分类存储系统、智能控制系统、通风排气系统、废气净化处理系统、温度控制系统、传感监测系统、防爆供电系统、漏液回收系统、自动消防灭火系统及安全系统、个人安全防护系统、静电防护系统、视频监控系统、远程在线实时监控系统、云端后台管理系统等</w:t>
      </w:r>
      <w:r>
        <w:rPr>
          <w:rFonts w:ascii="Calibri" w:hAnsi="宋体" w:cs="宋体"/>
          <w:color w:val="auto"/>
          <w:kern w:val="0"/>
          <w:sz w:val="28"/>
          <w:szCs w:val="28"/>
        </w:rPr>
        <w:t>21</w:t>
      </w:r>
      <w:r>
        <w:rPr>
          <w:rFonts w:hint="eastAsia" w:ascii="Calibri" w:hAnsi="宋体" w:cs="宋体"/>
          <w:color w:val="auto"/>
          <w:kern w:val="0"/>
          <w:sz w:val="28"/>
          <w:szCs w:val="28"/>
        </w:rPr>
        <w:t>个单元组成。</w:t>
      </w:r>
    </w:p>
    <w:tbl>
      <w:tblPr>
        <w:tblStyle w:val="47"/>
        <w:tblW w:w="9500" w:type="dxa"/>
        <w:jc w:val="center"/>
        <w:tblInd w:w="8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98"/>
        <w:gridCol w:w="981"/>
        <w:gridCol w:w="1947"/>
        <w:gridCol w:w="3617"/>
        <w:gridCol w:w="974"/>
        <w:gridCol w:w="7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82" w:hRule="atLeast"/>
          <w:jc w:val="center"/>
        </w:trPr>
        <w:tc>
          <w:tcPr>
            <w:tcW w:w="1198" w:type="dxa"/>
            <w:shd w:val="clear" w:color="auto" w:fill="C6D9F1"/>
            <w:vAlign w:val="center"/>
          </w:tcPr>
          <w:p>
            <w:pPr>
              <w:jc w:val="center"/>
              <w:rPr>
                <w:b/>
                <w:color w:val="auto"/>
                <w:sz w:val="28"/>
              </w:rPr>
            </w:pPr>
            <w:r>
              <w:rPr>
                <w:rFonts w:hint="eastAsia"/>
                <w:b/>
                <w:color w:val="auto"/>
                <w:sz w:val="28"/>
              </w:rPr>
              <w:t>设备名称</w:t>
            </w:r>
          </w:p>
        </w:tc>
        <w:tc>
          <w:tcPr>
            <w:tcW w:w="981" w:type="dxa"/>
            <w:shd w:val="clear" w:color="auto" w:fill="C6D9F1"/>
            <w:vAlign w:val="center"/>
          </w:tcPr>
          <w:p>
            <w:pPr>
              <w:jc w:val="center"/>
              <w:rPr>
                <w:b/>
                <w:color w:val="auto"/>
                <w:sz w:val="28"/>
              </w:rPr>
            </w:pPr>
            <w:r>
              <w:rPr>
                <w:rFonts w:hint="eastAsia"/>
                <w:b/>
                <w:color w:val="auto"/>
                <w:sz w:val="28"/>
              </w:rPr>
              <w:t>序号</w:t>
            </w:r>
          </w:p>
        </w:tc>
        <w:tc>
          <w:tcPr>
            <w:tcW w:w="1947" w:type="dxa"/>
            <w:shd w:val="clear" w:color="auto" w:fill="C6D9F1"/>
            <w:vAlign w:val="center"/>
          </w:tcPr>
          <w:p>
            <w:pPr>
              <w:jc w:val="center"/>
              <w:rPr>
                <w:b/>
                <w:color w:val="auto"/>
                <w:sz w:val="28"/>
              </w:rPr>
            </w:pPr>
            <w:r>
              <w:rPr>
                <w:rFonts w:hint="eastAsia"/>
                <w:b/>
                <w:color w:val="auto"/>
                <w:sz w:val="28"/>
              </w:rPr>
              <w:t>分类名称</w:t>
            </w:r>
          </w:p>
        </w:tc>
        <w:tc>
          <w:tcPr>
            <w:tcW w:w="3617" w:type="dxa"/>
            <w:shd w:val="clear" w:color="auto" w:fill="C6D9F1"/>
            <w:vAlign w:val="center"/>
          </w:tcPr>
          <w:p>
            <w:pPr>
              <w:pStyle w:val="129"/>
              <w:ind w:left="420" w:firstLine="0" w:firstLineChars="0"/>
              <w:jc w:val="center"/>
              <w:rPr>
                <w:rStyle w:val="40"/>
                <w:rFonts w:ascii="新宋体" w:hAnsi="新宋体" w:eastAsia="新宋体"/>
                <w:color w:val="auto"/>
                <w:sz w:val="28"/>
              </w:rPr>
            </w:pPr>
            <w:r>
              <w:rPr>
                <w:rStyle w:val="40"/>
                <w:rFonts w:hint="eastAsia" w:ascii="新宋体" w:hAnsi="新宋体" w:eastAsia="新宋体"/>
                <w:color w:val="auto"/>
                <w:sz w:val="28"/>
              </w:rPr>
              <w:t>设备明细</w:t>
            </w:r>
          </w:p>
        </w:tc>
        <w:tc>
          <w:tcPr>
            <w:tcW w:w="974" w:type="dxa"/>
            <w:shd w:val="clear" w:color="auto" w:fill="C6D9F1"/>
            <w:vAlign w:val="center"/>
          </w:tcPr>
          <w:p>
            <w:pPr>
              <w:jc w:val="center"/>
              <w:rPr>
                <w:b/>
                <w:color w:val="auto"/>
                <w:sz w:val="28"/>
              </w:rPr>
            </w:pPr>
            <w:r>
              <w:rPr>
                <w:rFonts w:hint="eastAsia"/>
                <w:b/>
                <w:color w:val="auto"/>
                <w:sz w:val="28"/>
              </w:rPr>
              <w:t>数量</w:t>
            </w:r>
          </w:p>
        </w:tc>
        <w:tc>
          <w:tcPr>
            <w:tcW w:w="783" w:type="dxa"/>
            <w:shd w:val="clear" w:color="auto" w:fill="C6D9F1"/>
            <w:vAlign w:val="center"/>
          </w:tcPr>
          <w:p>
            <w:pPr>
              <w:jc w:val="center"/>
              <w:rPr>
                <w:b/>
                <w:color w:val="auto"/>
                <w:sz w:val="28"/>
              </w:rPr>
            </w:pPr>
            <w:r>
              <w:rPr>
                <w:rFonts w:hint="eastAsia"/>
                <w:b/>
                <w:color w:val="auto"/>
                <w:sz w:val="2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77" w:hRule="atLeast"/>
          <w:jc w:val="center"/>
        </w:trPr>
        <w:tc>
          <w:tcPr>
            <w:tcW w:w="1198" w:type="dxa"/>
            <w:vMerge w:val="restart"/>
            <w:vAlign w:val="center"/>
          </w:tcPr>
          <w:p>
            <w:pPr>
              <w:jc w:val="center"/>
              <w:rPr>
                <w:color w:val="auto"/>
                <w:sz w:val="28"/>
              </w:rPr>
            </w:pPr>
            <w:r>
              <w:rPr>
                <w:rStyle w:val="40"/>
                <w:rFonts w:hint="eastAsia" w:ascii="新宋体" w:hAnsi="新宋体" w:eastAsia="新宋体"/>
                <w:bCs w:val="0"/>
                <w:color w:val="auto"/>
                <w:sz w:val="24"/>
              </w:rPr>
              <w:t>实验室废弃物暂存柜系统</w:t>
            </w:r>
          </w:p>
        </w:tc>
        <w:tc>
          <w:tcPr>
            <w:tcW w:w="981" w:type="dxa"/>
            <w:vAlign w:val="center"/>
          </w:tcPr>
          <w:p>
            <w:pPr>
              <w:jc w:val="center"/>
              <w:rPr>
                <w:color w:val="auto"/>
                <w:sz w:val="28"/>
              </w:rPr>
            </w:pPr>
            <w:r>
              <w:rPr>
                <w:rFonts w:hint="eastAsia"/>
                <w:b/>
                <w:color w:val="auto"/>
                <w:sz w:val="28"/>
              </w:rPr>
              <w:t>（一）</w:t>
            </w:r>
          </w:p>
        </w:tc>
        <w:tc>
          <w:tcPr>
            <w:tcW w:w="1947" w:type="dxa"/>
            <w:vAlign w:val="center"/>
          </w:tcPr>
          <w:p>
            <w:pPr>
              <w:jc w:val="center"/>
              <w:rPr>
                <w:rStyle w:val="40"/>
                <w:rFonts w:ascii="新宋体" w:hAnsi="新宋体" w:eastAsia="新宋体"/>
                <w:color w:val="auto"/>
                <w:sz w:val="24"/>
              </w:rPr>
            </w:pPr>
            <w:r>
              <w:rPr>
                <w:rStyle w:val="40"/>
                <w:rFonts w:hint="eastAsia" w:ascii="新宋体" w:hAnsi="新宋体" w:eastAsia="新宋体"/>
                <w:color w:val="auto"/>
                <w:sz w:val="24"/>
              </w:rPr>
              <w:t>暂存柜系统</w:t>
            </w:r>
          </w:p>
        </w:tc>
        <w:tc>
          <w:tcPr>
            <w:tcW w:w="3617" w:type="dxa"/>
            <w:vAlign w:val="center"/>
          </w:tcPr>
          <w:p>
            <w:pPr>
              <w:pStyle w:val="129"/>
              <w:numPr>
                <w:ilvl w:val="0"/>
                <w:numId w:val="62"/>
              </w:numPr>
              <w:ind w:firstLineChars="0"/>
              <w:jc w:val="left"/>
              <w:rPr>
                <w:rStyle w:val="40"/>
                <w:rFonts w:ascii="新宋体" w:hAnsi="新宋体" w:eastAsia="新宋体"/>
                <w:b w:val="0"/>
                <w:color w:val="auto"/>
                <w:sz w:val="28"/>
                <w:szCs w:val="28"/>
              </w:rPr>
            </w:pPr>
            <w:r>
              <w:rPr>
                <w:rStyle w:val="40"/>
                <w:rFonts w:hint="eastAsia" w:ascii="新宋体" w:hAnsi="新宋体" w:eastAsia="新宋体"/>
                <w:b w:val="0"/>
                <w:color w:val="auto"/>
                <w:sz w:val="28"/>
                <w:szCs w:val="28"/>
              </w:rPr>
              <w:t>主柜体</w:t>
            </w:r>
          </w:p>
          <w:p>
            <w:pPr>
              <w:pStyle w:val="129"/>
              <w:numPr>
                <w:ilvl w:val="0"/>
                <w:numId w:val="62"/>
              </w:numPr>
              <w:ind w:firstLineChars="0"/>
              <w:jc w:val="left"/>
              <w:rPr>
                <w:rStyle w:val="40"/>
                <w:rFonts w:ascii="新宋体" w:hAnsi="新宋体" w:eastAsia="新宋体"/>
                <w:b w:val="0"/>
                <w:color w:val="auto"/>
                <w:sz w:val="28"/>
                <w:szCs w:val="28"/>
              </w:rPr>
            </w:pPr>
            <w:r>
              <w:rPr>
                <w:rStyle w:val="40"/>
                <w:rFonts w:hint="eastAsia" w:ascii="新宋体" w:hAnsi="新宋体" w:eastAsia="新宋体"/>
                <w:b w:val="0"/>
                <w:color w:val="auto"/>
                <w:sz w:val="28"/>
                <w:szCs w:val="28"/>
              </w:rPr>
              <w:t>分类储存功能</w:t>
            </w:r>
          </w:p>
          <w:p>
            <w:pPr>
              <w:pStyle w:val="129"/>
              <w:numPr>
                <w:ilvl w:val="0"/>
                <w:numId w:val="62"/>
              </w:numPr>
              <w:ind w:firstLineChars="0"/>
              <w:jc w:val="left"/>
              <w:rPr>
                <w:rStyle w:val="40"/>
                <w:rFonts w:ascii="新宋体" w:hAnsi="新宋体" w:eastAsia="新宋体"/>
                <w:b w:val="0"/>
                <w:color w:val="auto"/>
                <w:sz w:val="28"/>
                <w:szCs w:val="28"/>
              </w:rPr>
            </w:pPr>
            <w:r>
              <w:rPr>
                <w:rStyle w:val="40"/>
                <w:rFonts w:hint="eastAsia" w:ascii="新宋体" w:hAnsi="新宋体" w:eastAsia="新宋体"/>
                <w:b w:val="0"/>
                <w:color w:val="auto"/>
                <w:sz w:val="28"/>
                <w:szCs w:val="28"/>
              </w:rPr>
              <w:t>智能控制系统</w:t>
            </w:r>
          </w:p>
          <w:p>
            <w:pPr>
              <w:pStyle w:val="129"/>
              <w:numPr>
                <w:ilvl w:val="0"/>
                <w:numId w:val="62"/>
              </w:numPr>
              <w:ind w:firstLineChars="0"/>
              <w:jc w:val="left"/>
              <w:rPr>
                <w:rStyle w:val="40"/>
                <w:rFonts w:ascii="新宋体" w:hAnsi="新宋体" w:eastAsia="新宋体"/>
                <w:b w:val="0"/>
                <w:color w:val="auto"/>
                <w:sz w:val="28"/>
                <w:szCs w:val="28"/>
              </w:rPr>
            </w:pPr>
            <w:r>
              <w:rPr>
                <w:rStyle w:val="40"/>
                <w:rFonts w:hint="eastAsia" w:ascii="新宋体" w:hAnsi="新宋体" w:eastAsia="新宋体"/>
                <w:b w:val="0"/>
                <w:color w:val="auto"/>
                <w:sz w:val="28"/>
                <w:szCs w:val="28"/>
              </w:rPr>
              <w:t>通风排气系统</w:t>
            </w:r>
          </w:p>
          <w:p>
            <w:pPr>
              <w:pStyle w:val="129"/>
              <w:numPr>
                <w:ilvl w:val="0"/>
                <w:numId w:val="62"/>
              </w:numPr>
              <w:ind w:firstLineChars="0"/>
              <w:jc w:val="left"/>
              <w:rPr>
                <w:rStyle w:val="40"/>
                <w:rFonts w:ascii="新宋体" w:hAnsi="新宋体" w:eastAsia="新宋体"/>
                <w:b w:val="0"/>
                <w:color w:val="auto"/>
                <w:sz w:val="28"/>
                <w:szCs w:val="28"/>
              </w:rPr>
            </w:pPr>
            <w:r>
              <w:rPr>
                <w:rStyle w:val="40"/>
                <w:rFonts w:hint="eastAsia" w:ascii="新宋体" w:hAnsi="新宋体" w:eastAsia="新宋体"/>
                <w:b w:val="0"/>
                <w:color w:val="auto"/>
                <w:sz w:val="28"/>
                <w:szCs w:val="28"/>
              </w:rPr>
              <w:t>废气净化系统</w:t>
            </w:r>
          </w:p>
          <w:p>
            <w:pPr>
              <w:pStyle w:val="129"/>
              <w:numPr>
                <w:ilvl w:val="0"/>
                <w:numId w:val="62"/>
              </w:numPr>
              <w:ind w:firstLineChars="0"/>
              <w:jc w:val="left"/>
              <w:rPr>
                <w:rStyle w:val="40"/>
                <w:rFonts w:ascii="新宋体" w:hAnsi="新宋体" w:eastAsia="新宋体"/>
                <w:b w:val="0"/>
                <w:color w:val="auto"/>
                <w:sz w:val="28"/>
                <w:szCs w:val="28"/>
              </w:rPr>
            </w:pPr>
            <w:r>
              <w:rPr>
                <w:rStyle w:val="40"/>
                <w:rFonts w:hint="eastAsia" w:ascii="新宋体" w:hAnsi="新宋体" w:eastAsia="新宋体"/>
                <w:b w:val="0"/>
                <w:color w:val="auto"/>
                <w:sz w:val="28"/>
                <w:szCs w:val="28"/>
              </w:rPr>
              <w:t>温度控制系统</w:t>
            </w:r>
          </w:p>
          <w:p>
            <w:pPr>
              <w:pStyle w:val="129"/>
              <w:numPr>
                <w:ilvl w:val="0"/>
                <w:numId w:val="62"/>
              </w:numPr>
              <w:ind w:firstLineChars="0"/>
              <w:jc w:val="left"/>
              <w:rPr>
                <w:rStyle w:val="40"/>
                <w:rFonts w:ascii="新宋体" w:hAnsi="新宋体" w:eastAsia="新宋体"/>
                <w:b w:val="0"/>
                <w:color w:val="auto"/>
                <w:sz w:val="28"/>
                <w:szCs w:val="28"/>
              </w:rPr>
            </w:pPr>
            <w:r>
              <w:rPr>
                <w:rStyle w:val="40"/>
                <w:rFonts w:hint="eastAsia" w:ascii="新宋体" w:hAnsi="新宋体" w:eastAsia="新宋体"/>
                <w:b w:val="0"/>
                <w:color w:val="auto"/>
                <w:sz w:val="28"/>
                <w:szCs w:val="28"/>
              </w:rPr>
              <w:t>传感监测系统</w:t>
            </w:r>
          </w:p>
          <w:p>
            <w:pPr>
              <w:pStyle w:val="129"/>
              <w:numPr>
                <w:ilvl w:val="0"/>
                <w:numId w:val="62"/>
              </w:numPr>
              <w:ind w:firstLineChars="0"/>
              <w:jc w:val="left"/>
              <w:rPr>
                <w:rStyle w:val="40"/>
                <w:rFonts w:ascii="新宋体" w:hAnsi="新宋体" w:eastAsia="新宋体"/>
                <w:b w:val="0"/>
                <w:color w:val="auto"/>
                <w:sz w:val="28"/>
                <w:szCs w:val="28"/>
              </w:rPr>
            </w:pPr>
            <w:r>
              <w:rPr>
                <w:rStyle w:val="40"/>
                <w:rFonts w:hint="eastAsia" w:ascii="新宋体" w:hAnsi="新宋体" w:eastAsia="新宋体"/>
                <w:b w:val="0"/>
                <w:color w:val="auto"/>
                <w:sz w:val="28"/>
                <w:szCs w:val="28"/>
              </w:rPr>
              <w:t>防爆供电系统</w:t>
            </w:r>
          </w:p>
          <w:p>
            <w:pPr>
              <w:pStyle w:val="129"/>
              <w:numPr>
                <w:ilvl w:val="0"/>
                <w:numId w:val="62"/>
              </w:numPr>
              <w:ind w:firstLineChars="0"/>
              <w:jc w:val="left"/>
              <w:rPr>
                <w:rStyle w:val="40"/>
                <w:rFonts w:ascii="新宋体" w:hAnsi="新宋体" w:eastAsia="新宋体"/>
                <w:b w:val="0"/>
                <w:color w:val="auto"/>
                <w:sz w:val="28"/>
                <w:szCs w:val="28"/>
              </w:rPr>
            </w:pPr>
            <w:r>
              <w:rPr>
                <w:rStyle w:val="40"/>
                <w:rFonts w:hint="eastAsia" w:ascii="新宋体" w:hAnsi="新宋体" w:eastAsia="新宋体"/>
                <w:b w:val="0"/>
                <w:color w:val="auto"/>
                <w:sz w:val="28"/>
                <w:szCs w:val="28"/>
              </w:rPr>
              <w:t>漏液回收系统</w:t>
            </w:r>
          </w:p>
          <w:p>
            <w:pPr>
              <w:pStyle w:val="129"/>
              <w:numPr>
                <w:ilvl w:val="0"/>
                <w:numId w:val="62"/>
              </w:numPr>
              <w:ind w:firstLineChars="0"/>
              <w:jc w:val="left"/>
              <w:rPr>
                <w:rStyle w:val="40"/>
                <w:rFonts w:ascii="新宋体" w:hAnsi="新宋体" w:eastAsia="新宋体"/>
                <w:b w:val="0"/>
                <w:color w:val="auto"/>
                <w:sz w:val="28"/>
                <w:szCs w:val="28"/>
              </w:rPr>
            </w:pPr>
            <w:r>
              <w:rPr>
                <w:rStyle w:val="40"/>
                <w:rFonts w:hint="eastAsia" w:ascii="新宋体" w:hAnsi="新宋体" w:eastAsia="新宋体"/>
                <w:b w:val="0"/>
                <w:color w:val="auto"/>
                <w:sz w:val="28"/>
                <w:szCs w:val="28"/>
              </w:rPr>
              <w:t>自动消防灭火系统</w:t>
            </w:r>
          </w:p>
          <w:p>
            <w:pPr>
              <w:pStyle w:val="129"/>
              <w:numPr>
                <w:ilvl w:val="0"/>
                <w:numId w:val="62"/>
              </w:numPr>
              <w:ind w:firstLineChars="0"/>
              <w:jc w:val="left"/>
              <w:rPr>
                <w:rStyle w:val="40"/>
                <w:rFonts w:ascii="新宋体" w:hAnsi="新宋体" w:eastAsia="新宋体"/>
                <w:b w:val="0"/>
                <w:color w:val="auto"/>
                <w:sz w:val="28"/>
                <w:szCs w:val="28"/>
              </w:rPr>
            </w:pPr>
            <w:r>
              <w:rPr>
                <w:rStyle w:val="40"/>
                <w:rFonts w:hint="eastAsia" w:ascii="新宋体" w:hAnsi="新宋体" w:eastAsia="新宋体"/>
                <w:b w:val="0"/>
                <w:color w:val="auto"/>
                <w:sz w:val="28"/>
                <w:szCs w:val="28"/>
              </w:rPr>
              <w:t>个人安全防护设施</w:t>
            </w:r>
          </w:p>
          <w:p>
            <w:pPr>
              <w:pStyle w:val="129"/>
              <w:numPr>
                <w:ilvl w:val="0"/>
                <w:numId w:val="62"/>
              </w:numPr>
              <w:ind w:firstLineChars="0"/>
              <w:jc w:val="left"/>
              <w:rPr>
                <w:rStyle w:val="40"/>
                <w:rFonts w:ascii="新宋体" w:hAnsi="新宋体" w:eastAsia="新宋体"/>
                <w:b w:val="0"/>
                <w:color w:val="auto"/>
                <w:sz w:val="28"/>
                <w:szCs w:val="28"/>
              </w:rPr>
            </w:pPr>
            <w:r>
              <w:rPr>
                <w:rStyle w:val="40"/>
                <w:rFonts w:hint="eastAsia" w:ascii="新宋体" w:hAnsi="新宋体" w:eastAsia="新宋体"/>
                <w:b w:val="0"/>
                <w:color w:val="auto"/>
                <w:sz w:val="28"/>
                <w:szCs w:val="28"/>
              </w:rPr>
              <w:t>静电防护系统</w:t>
            </w:r>
          </w:p>
          <w:p>
            <w:pPr>
              <w:pStyle w:val="129"/>
              <w:numPr>
                <w:ilvl w:val="0"/>
                <w:numId w:val="62"/>
              </w:numPr>
              <w:ind w:firstLineChars="0"/>
              <w:jc w:val="left"/>
              <w:rPr>
                <w:rStyle w:val="40"/>
                <w:rFonts w:ascii="新宋体" w:hAnsi="新宋体" w:eastAsia="新宋体"/>
                <w:b w:val="0"/>
                <w:color w:val="auto"/>
                <w:sz w:val="28"/>
                <w:szCs w:val="28"/>
              </w:rPr>
            </w:pPr>
            <w:r>
              <w:rPr>
                <w:rStyle w:val="40"/>
                <w:rFonts w:hint="eastAsia" w:ascii="新宋体" w:hAnsi="新宋体" w:eastAsia="新宋体"/>
                <w:b w:val="0"/>
                <w:color w:val="auto"/>
                <w:sz w:val="28"/>
                <w:szCs w:val="28"/>
              </w:rPr>
              <w:t>视频监控系统</w:t>
            </w:r>
          </w:p>
          <w:p>
            <w:pPr>
              <w:pStyle w:val="129"/>
              <w:numPr>
                <w:ilvl w:val="0"/>
                <w:numId w:val="62"/>
              </w:numPr>
              <w:ind w:firstLineChars="0"/>
              <w:jc w:val="left"/>
              <w:rPr>
                <w:rStyle w:val="40"/>
                <w:rFonts w:ascii="新宋体" w:hAnsi="新宋体" w:eastAsia="新宋体"/>
                <w:b w:val="0"/>
                <w:color w:val="auto"/>
                <w:sz w:val="28"/>
                <w:szCs w:val="28"/>
              </w:rPr>
            </w:pPr>
            <w:r>
              <w:rPr>
                <w:rStyle w:val="40"/>
                <w:rFonts w:hint="eastAsia" w:ascii="新宋体" w:hAnsi="新宋体" w:eastAsia="新宋体"/>
                <w:b w:val="0"/>
                <w:color w:val="auto"/>
                <w:sz w:val="28"/>
                <w:szCs w:val="28"/>
              </w:rPr>
              <w:t>避雷措施</w:t>
            </w:r>
          </w:p>
          <w:p>
            <w:pPr>
              <w:pStyle w:val="129"/>
              <w:numPr>
                <w:ilvl w:val="0"/>
                <w:numId w:val="62"/>
              </w:numPr>
              <w:ind w:firstLineChars="0"/>
              <w:jc w:val="left"/>
              <w:rPr>
                <w:rStyle w:val="40"/>
                <w:rFonts w:ascii="新宋体" w:hAnsi="新宋体" w:eastAsia="新宋体"/>
                <w:b w:val="0"/>
                <w:color w:val="auto"/>
                <w:sz w:val="28"/>
                <w:szCs w:val="28"/>
              </w:rPr>
            </w:pPr>
            <w:r>
              <w:rPr>
                <w:rStyle w:val="40"/>
                <w:rFonts w:hint="eastAsia" w:ascii="新宋体" w:hAnsi="新宋体" w:eastAsia="新宋体"/>
                <w:b w:val="0"/>
                <w:color w:val="auto"/>
                <w:sz w:val="28"/>
                <w:szCs w:val="28"/>
              </w:rPr>
              <w:t>安全标识、标牌与说明</w:t>
            </w:r>
          </w:p>
        </w:tc>
        <w:tc>
          <w:tcPr>
            <w:tcW w:w="974" w:type="dxa"/>
            <w:vMerge w:val="restart"/>
            <w:vAlign w:val="center"/>
          </w:tcPr>
          <w:p>
            <w:pPr>
              <w:jc w:val="center"/>
              <w:rPr>
                <w:color w:val="auto"/>
                <w:sz w:val="24"/>
              </w:rPr>
            </w:pPr>
            <w:r>
              <w:rPr>
                <w:color w:val="auto"/>
                <w:sz w:val="24"/>
              </w:rPr>
              <w:t>1</w:t>
            </w:r>
            <w:r>
              <w:rPr>
                <w:rFonts w:hint="eastAsia"/>
                <w:color w:val="auto"/>
                <w:sz w:val="24"/>
              </w:rPr>
              <w:t>套</w:t>
            </w:r>
          </w:p>
        </w:tc>
        <w:tc>
          <w:tcPr>
            <w:tcW w:w="783" w:type="dxa"/>
            <w:vAlign w:val="center"/>
          </w:tcPr>
          <w:p>
            <w:pPr>
              <w:jc w:val="center"/>
              <w:rPr>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82" w:hRule="atLeast"/>
          <w:jc w:val="center"/>
        </w:trPr>
        <w:tc>
          <w:tcPr>
            <w:tcW w:w="1198" w:type="dxa"/>
            <w:vMerge w:val="continue"/>
            <w:vAlign w:val="center"/>
          </w:tcPr>
          <w:p>
            <w:pPr>
              <w:jc w:val="center"/>
              <w:rPr>
                <w:color w:val="auto"/>
                <w:sz w:val="28"/>
              </w:rPr>
            </w:pPr>
          </w:p>
        </w:tc>
        <w:tc>
          <w:tcPr>
            <w:tcW w:w="981" w:type="dxa"/>
            <w:vAlign w:val="center"/>
          </w:tcPr>
          <w:p>
            <w:pPr>
              <w:jc w:val="center"/>
              <w:rPr>
                <w:color w:val="auto"/>
                <w:sz w:val="28"/>
              </w:rPr>
            </w:pPr>
            <w:r>
              <w:rPr>
                <w:rFonts w:hint="eastAsia"/>
                <w:b/>
                <w:color w:val="auto"/>
                <w:sz w:val="28"/>
              </w:rPr>
              <w:t>（二）</w:t>
            </w:r>
          </w:p>
        </w:tc>
        <w:tc>
          <w:tcPr>
            <w:tcW w:w="1947" w:type="dxa"/>
            <w:vAlign w:val="center"/>
          </w:tcPr>
          <w:p>
            <w:pPr>
              <w:jc w:val="center"/>
              <w:rPr>
                <w:rStyle w:val="40"/>
                <w:rFonts w:ascii="新宋体" w:hAnsi="新宋体" w:eastAsia="新宋体"/>
                <w:b w:val="0"/>
                <w:color w:val="auto"/>
                <w:sz w:val="24"/>
              </w:rPr>
            </w:pPr>
            <w:r>
              <w:rPr>
                <w:rStyle w:val="40"/>
                <w:rFonts w:hint="eastAsia" w:ascii="新宋体" w:hAnsi="新宋体" w:eastAsia="新宋体"/>
                <w:color w:val="auto"/>
                <w:sz w:val="24"/>
              </w:rPr>
              <w:t>物联网管控系统</w:t>
            </w:r>
          </w:p>
        </w:tc>
        <w:tc>
          <w:tcPr>
            <w:tcW w:w="3617" w:type="dxa"/>
            <w:vAlign w:val="center"/>
          </w:tcPr>
          <w:p>
            <w:pPr>
              <w:pStyle w:val="129"/>
              <w:numPr>
                <w:ilvl w:val="0"/>
                <w:numId w:val="62"/>
              </w:numPr>
              <w:ind w:firstLineChars="0"/>
              <w:jc w:val="left"/>
              <w:rPr>
                <w:rStyle w:val="40"/>
                <w:rFonts w:ascii="新宋体" w:hAnsi="新宋体" w:eastAsia="新宋体"/>
                <w:b w:val="0"/>
                <w:color w:val="auto"/>
                <w:sz w:val="28"/>
                <w:szCs w:val="28"/>
              </w:rPr>
            </w:pPr>
            <w:r>
              <w:rPr>
                <w:rStyle w:val="40"/>
                <w:rFonts w:hint="eastAsia" w:ascii="新宋体" w:hAnsi="新宋体" w:eastAsia="新宋体"/>
                <w:b w:val="0"/>
                <w:color w:val="auto"/>
                <w:sz w:val="28"/>
                <w:szCs w:val="28"/>
              </w:rPr>
              <w:t>远程在线实时监控系统</w:t>
            </w:r>
          </w:p>
          <w:p>
            <w:pPr>
              <w:pStyle w:val="129"/>
              <w:numPr>
                <w:ilvl w:val="0"/>
                <w:numId w:val="62"/>
              </w:numPr>
              <w:ind w:firstLineChars="0"/>
              <w:jc w:val="left"/>
              <w:rPr>
                <w:rStyle w:val="40"/>
                <w:rFonts w:ascii="新宋体" w:hAnsi="新宋体" w:eastAsia="新宋体"/>
                <w:b w:val="0"/>
                <w:color w:val="auto"/>
                <w:sz w:val="28"/>
                <w:szCs w:val="28"/>
              </w:rPr>
            </w:pPr>
            <w:r>
              <w:rPr>
                <w:rStyle w:val="40"/>
                <w:rFonts w:hint="eastAsia" w:ascii="新宋体" w:hAnsi="新宋体" w:eastAsia="新宋体"/>
                <w:b w:val="0"/>
                <w:color w:val="auto"/>
                <w:sz w:val="28"/>
                <w:szCs w:val="28"/>
              </w:rPr>
              <w:t>云端后台管理系统</w:t>
            </w:r>
          </w:p>
        </w:tc>
        <w:tc>
          <w:tcPr>
            <w:tcW w:w="974" w:type="dxa"/>
            <w:vMerge w:val="continue"/>
            <w:vAlign w:val="center"/>
          </w:tcPr>
          <w:p>
            <w:pPr>
              <w:jc w:val="center"/>
              <w:rPr>
                <w:color w:val="auto"/>
                <w:sz w:val="24"/>
              </w:rPr>
            </w:pPr>
          </w:p>
        </w:tc>
        <w:tc>
          <w:tcPr>
            <w:tcW w:w="783" w:type="dxa"/>
            <w:vAlign w:val="center"/>
          </w:tcPr>
          <w:p>
            <w:pPr>
              <w:jc w:val="center"/>
              <w:rPr>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194" w:hRule="atLeast"/>
          <w:jc w:val="center"/>
        </w:trPr>
        <w:tc>
          <w:tcPr>
            <w:tcW w:w="1198" w:type="dxa"/>
            <w:vMerge w:val="continue"/>
            <w:vAlign w:val="center"/>
          </w:tcPr>
          <w:p>
            <w:pPr>
              <w:jc w:val="center"/>
              <w:rPr>
                <w:b/>
                <w:color w:val="auto"/>
                <w:sz w:val="28"/>
              </w:rPr>
            </w:pPr>
          </w:p>
        </w:tc>
        <w:tc>
          <w:tcPr>
            <w:tcW w:w="981" w:type="dxa"/>
            <w:vAlign w:val="center"/>
          </w:tcPr>
          <w:p>
            <w:pPr>
              <w:jc w:val="center"/>
              <w:rPr>
                <w:b/>
                <w:color w:val="auto"/>
                <w:sz w:val="28"/>
              </w:rPr>
            </w:pPr>
            <w:r>
              <w:rPr>
                <w:rFonts w:hint="eastAsia"/>
                <w:b/>
                <w:color w:val="auto"/>
                <w:sz w:val="28"/>
              </w:rPr>
              <w:t>（三）</w:t>
            </w:r>
          </w:p>
        </w:tc>
        <w:tc>
          <w:tcPr>
            <w:tcW w:w="1947" w:type="dxa"/>
            <w:vAlign w:val="center"/>
          </w:tcPr>
          <w:p>
            <w:pPr>
              <w:jc w:val="center"/>
              <w:rPr>
                <w:rStyle w:val="40"/>
                <w:rFonts w:ascii="新宋体" w:hAnsi="新宋体" w:eastAsia="新宋体"/>
                <w:color w:val="auto"/>
                <w:sz w:val="24"/>
              </w:rPr>
            </w:pPr>
            <w:r>
              <w:rPr>
                <w:rStyle w:val="40"/>
                <w:rFonts w:hint="eastAsia" w:ascii="新宋体" w:hAnsi="新宋体" w:eastAsia="新宋体"/>
                <w:color w:val="auto"/>
                <w:sz w:val="24"/>
              </w:rPr>
              <w:t>基础设施</w:t>
            </w:r>
          </w:p>
        </w:tc>
        <w:tc>
          <w:tcPr>
            <w:tcW w:w="3617" w:type="dxa"/>
            <w:vAlign w:val="center"/>
          </w:tcPr>
          <w:p>
            <w:pPr>
              <w:pStyle w:val="129"/>
              <w:numPr>
                <w:ilvl w:val="0"/>
                <w:numId w:val="62"/>
              </w:numPr>
              <w:ind w:firstLineChars="0"/>
              <w:jc w:val="left"/>
              <w:rPr>
                <w:rStyle w:val="40"/>
                <w:rFonts w:ascii="新宋体" w:hAnsi="新宋体" w:eastAsia="新宋体"/>
                <w:b w:val="0"/>
                <w:color w:val="auto"/>
                <w:sz w:val="28"/>
                <w:szCs w:val="28"/>
              </w:rPr>
            </w:pPr>
            <w:r>
              <w:rPr>
                <w:rStyle w:val="40"/>
                <w:rFonts w:hint="eastAsia" w:ascii="新宋体" w:hAnsi="新宋体" w:eastAsia="新宋体"/>
                <w:b w:val="0"/>
                <w:color w:val="auto"/>
                <w:sz w:val="28"/>
                <w:szCs w:val="28"/>
              </w:rPr>
              <w:t>基座建设</w:t>
            </w:r>
          </w:p>
          <w:p>
            <w:pPr>
              <w:pStyle w:val="129"/>
              <w:numPr>
                <w:ilvl w:val="0"/>
                <w:numId w:val="62"/>
              </w:numPr>
              <w:ind w:firstLineChars="0"/>
              <w:jc w:val="left"/>
              <w:rPr>
                <w:rStyle w:val="40"/>
                <w:rFonts w:ascii="新宋体" w:hAnsi="新宋体" w:eastAsia="新宋体"/>
                <w:b w:val="0"/>
                <w:color w:val="auto"/>
                <w:sz w:val="28"/>
                <w:szCs w:val="28"/>
              </w:rPr>
            </w:pPr>
            <w:r>
              <w:rPr>
                <w:rStyle w:val="40"/>
                <w:rFonts w:hint="eastAsia" w:ascii="新宋体" w:hAnsi="新宋体" w:eastAsia="新宋体"/>
                <w:b w:val="0"/>
                <w:color w:val="auto"/>
                <w:sz w:val="28"/>
                <w:szCs w:val="28"/>
              </w:rPr>
              <w:t>顶棚</w:t>
            </w:r>
          </w:p>
          <w:p>
            <w:pPr>
              <w:pStyle w:val="129"/>
              <w:numPr>
                <w:ilvl w:val="0"/>
                <w:numId w:val="62"/>
              </w:numPr>
              <w:ind w:firstLineChars="0"/>
              <w:jc w:val="left"/>
              <w:rPr>
                <w:rStyle w:val="40"/>
                <w:rFonts w:ascii="新宋体" w:hAnsi="新宋体" w:eastAsia="新宋体"/>
                <w:b w:val="0"/>
                <w:color w:val="auto"/>
                <w:sz w:val="28"/>
                <w:szCs w:val="28"/>
              </w:rPr>
            </w:pPr>
            <w:r>
              <w:rPr>
                <w:rStyle w:val="40"/>
                <w:rFonts w:hint="eastAsia" w:ascii="新宋体" w:hAnsi="新宋体" w:eastAsia="新宋体"/>
                <w:b w:val="0"/>
                <w:color w:val="auto"/>
                <w:sz w:val="28"/>
                <w:szCs w:val="28"/>
              </w:rPr>
              <w:t>安全护栏</w:t>
            </w:r>
          </w:p>
          <w:p>
            <w:pPr>
              <w:pStyle w:val="129"/>
              <w:numPr>
                <w:ilvl w:val="0"/>
                <w:numId w:val="62"/>
              </w:numPr>
              <w:ind w:firstLineChars="0"/>
              <w:jc w:val="left"/>
              <w:rPr>
                <w:rStyle w:val="40"/>
                <w:rFonts w:ascii="新宋体" w:hAnsi="新宋体" w:eastAsia="新宋体"/>
                <w:b w:val="0"/>
                <w:color w:val="auto"/>
                <w:sz w:val="28"/>
                <w:szCs w:val="28"/>
              </w:rPr>
            </w:pPr>
            <w:r>
              <w:rPr>
                <w:rStyle w:val="40"/>
                <w:rFonts w:hint="eastAsia" w:ascii="新宋体" w:hAnsi="新宋体" w:eastAsia="新宋体"/>
                <w:b w:val="0"/>
                <w:color w:val="auto"/>
                <w:sz w:val="28"/>
                <w:szCs w:val="28"/>
              </w:rPr>
              <w:t>个人安全防护紧急冲淋系统</w:t>
            </w:r>
          </w:p>
        </w:tc>
        <w:tc>
          <w:tcPr>
            <w:tcW w:w="974" w:type="dxa"/>
            <w:vMerge w:val="continue"/>
            <w:vAlign w:val="center"/>
          </w:tcPr>
          <w:p>
            <w:pPr>
              <w:jc w:val="center"/>
              <w:rPr>
                <w:color w:val="auto"/>
                <w:sz w:val="24"/>
              </w:rPr>
            </w:pPr>
          </w:p>
        </w:tc>
        <w:tc>
          <w:tcPr>
            <w:tcW w:w="783" w:type="dxa"/>
            <w:vAlign w:val="center"/>
          </w:tcPr>
          <w:p>
            <w:pPr>
              <w:jc w:val="center"/>
              <w:rPr>
                <w:color w:val="auto"/>
              </w:rPr>
            </w:pPr>
          </w:p>
        </w:tc>
      </w:tr>
    </w:tbl>
    <w:p>
      <w:pPr>
        <w:rPr>
          <w:color w:val="auto"/>
        </w:rPr>
      </w:pPr>
    </w:p>
    <w:p>
      <w:pPr>
        <w:rPr>
          <w:color w:val="auto"/>
        </w:rPr>
      </w:pPr>
    </w:p>
    <w:p>
      <w:pPr>
        <w:pStyle w:val="3"/>
        <w:spacing w:line="360" w:lineRule="auto"/>
        <w:rPr>
          <w:color w:val="auto"/>
          <w:sz w:val="44"/>
        </w:rPr>
      </w:pPr>
      <w:bookmarkStart w:id="207" w:name="_Toc513029971"/>
      <w:bookmarkStart w:id="208" w:name="_Toc525285080"/>
      <w:r>
        <w:rPr>
          <w:color w:val="auto"/>
        </w:rPr>
        <w:br w:type="page"/>
      </w:r>
    </w:p>
    <w:bookmarkEnd w:id="207"/>
    <w:bookmarkEnd w:id="208"/>
    <w:tbl>
      <w:tblPr>
        <w:tblStyle w:val="47"/>
        <w:tblW w:w="9980" w:type="dxa"/>
        <w:tblInd w:w="-73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98"/>
        <w:gridCol w:w="1377"/>
        <w:gridCol w:w="790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208" w:hRule="atLeast"/>
          <w:tblHeader/>
        </w:trPr>
        <w:tc>
          <w:tcPr>
            <w:tcW w:w="9980" w:type="dxa"/>
            <w:gridSpan w:val="3"/>
            <w:tcBorders>
              <w:top w:val="nil"/>
              <w:left w:val="nil"/>
              <w:bottom w:val="single" w:color="auto" w:sz="4" w:space="0"/>
              <w:right w:val="nil"/>
            </w:tcBorders>
            <w:shd w:val="clear" w:color="auto" w:fill="auto"/>
            <w:vAlign w:val="center"/>
          </w:tcPr>
          <w:p>
            <w:pPr>
              <w:ind w:left="-420" w:leftChars="-200"/>
              <w:jc w:val="center"/>
              <w:rPr>
                <w:color w:val="auto"/>
              </w:rPr>
            </w:pPr>
            <w:r>
              <w:rPr>
                <w:rFonts w:hint="eastAsia"/>
                <w:b/>
                <w:bCs/>
                <w:color w:val="auto"/>
                <w:sz w:val="32"/>
                <w:szCs w:val="32"/>
              </w:rPr>
              <w:t>功能、参数描述及配置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90" w:hRule="atLeast"/>
          <w:tblHeader/>
        </w:trPr>
        <w:tc>
          <w:tcPr>
            <w:tcW w:w="698" w:type="dxa"/>
            <w:tcBorders>
              <w:top w:val="single" w:color="auto" w:sz="4" w:space="0"/>
            </w:tcBorders>
            <w:shd w:val="clear" w:color="auto" w:fill="214F87"/>
            <w:vAlign w:val="center"/>
          </w:tcPr>
          <w:p>
            <w:pPr>
              <w:spacing w:line="360" w:lineRule="auto"/>
              <w:jc w:val="center"/>
              <w:rPr>
                <w:b/>
                <w:color w:val="auto"/>
                <w:sz w:val="24"/>
              </w:rPr>
            </w:pPr>
            <w:r>
              <w:rPr>
                <w:rFonts w:hint="eastAsia"/>
                <w:b/>
                <w:color w:val="auto"/>
                <w:sz w:val="24"/>
              </w:rPr>
              <w:t>序号</w:t>
            </w:r>
          </w:p>
        </w:tc>
        <w:tc>
          <w:tcPr>
            <w:tcW w:w="1377" w:type="dxa"/>
            <w:tcBorders>
              <w:top w:val="single" w:color="auto" w:sz="4" w:space="0"/>
            </w:tcBorders>
            <w:shd w:val="clear" w:color="auto" w:fill="214F87"/>
            <w:vAlign w:val="center"/>
          </w:tcPr>
          <w:p>
            <w:pPr>
              <w:spacing w:line="360" w:lineRule="auto"/>
              <w:jc w:val="center"/>
              <w:rPr>
                <w:b/>
                <w:color w:val="auto"/>
                <w:sz w:val="24"/>
              </w:rPr>
            </w:pPr>
            <w:r>
              <w:rPr>
                <w:rFonts w:hint="eastAsia"/>
                <w:b/>
                <w:color w:val="auto"/>
                <w:sz w:val="24"/>
              </w:rPr>
              <w:t>设备名称</w:t>
            </w:r>
          </w:p>
        </w:tc>
        <w:tc>
          <w:tcPr>
            <w:tcW w:w="7905" w:type="dxa"/>
            <w:tcBorders>
              <w:top w:val="single" w:color="auto" w:sz="4" w:space="0"/>
            </w:tcBorders>
            <w:shd w:val="clear" w:color="auto" w:fill="214F87"/>
            <w:vAlign w:val="center"/>
          </w:tcPr>
          <w:p>
            <w:pPr>
              <w:spacing w:line="360" w:lineRule="auto"/>
              <w:jc w:val="center"/>
              <w:rPr>
                <w:b/>
                <w:color w:val="auto"/>
                <w:sz w:val="24"/>
              </w:rPr>
            </w:pPr>
            <w:r>
              <w:rPr>
                <w:rFonts w:hint="eastAsia"/>
                <w:b/>
                <w:color w:val="auto"/>
                <w:sz w:val="24"/>
              </w:rPr>
              <w:t>功能、参数描述及配置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tblHeader/>
        </w:trPr>
        <w:tc>
          <w:tcPr>
            <w:tcW w:w="9980" w:type="dxa"/>
            <w:gridSpan w:val="3"/>
            <w:shd w:val="clear" w:color="auto" w:fill="DBE5F1"/>
            <w:vAlign w:val="center"/>
          </w:tcPr>
          <w:p>
            <w:pPr>
              <w:spacing w:line="360" w:lineRule="auto"/>
              <w:jc w:val="center"/>
              <w:rPr>
                <w:b/>
                <w:color w:val="auto"/>
              </w:rPr>
            </w:pPr>
            <w:r>
              <w:rPr>
                <w:rFonts w:hint="eastAsia"/>
                <w:b/>
                <w:color w:val="auto"/>
                <w:sz w:val="24"/>
              </w:rPr>
              <w:t>（一）、实验室废弃物暂存柜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39" w:hRule="atLeast"/>
          <w:tblHeader/>
        </w:trPr>
        <w:tc>
          <w:tcPr>
            <w:tcW w:w="698" w:type="dxa"/>
            <w:vMerge w:val="restart"/>
            <w:shd w:val="clear" w:color="auto" w:fill="B8CCE4"/>
            <w:vAlign w:val="center"/>
          </w:tcPr>
          <w:p>
            <w:pPr>
              <w:pStyle w:val="129"/>
              <w:numPr>
                <w:ilvl w:val="0"/>
                <w:numId w:val="63"/>
              </w:numPr>
              <w:spacing w:line="360" w:lineRule="auto"/>
              <w:ind w:firstLineChars="0"/>
              <w:jc w:val="center"/>
              <w:rPr>
                <w:color w:val="auto"/>
              </w:rPr>
            </w:pPr>
          </w:p>
        </w:tc>
        <w:tc>
          <w:tcPr>
            <w:tcW w:w="1377" w:type="dxa"/>
            <w:vMerge w:val="restart"/>
            <w:vAlign w:val="center"/>
          </w:tcPr>
          <w:p>
            <w:pPr>
              <w:pStyle w:val="129"/>
              <w:spacing w:line="360" w:lineRule="auto"/>
              <w:ind w:left="420" w:firstLine="0" w:firstLineChars="0"/>
              <w:jc w:val="left"/>
              <w:rPr>
                <w:b/>
                <w:color w:val="auto"/>
                <w:sz w:val="24"/>
              </w:rPr>
            </w:pPr>
            <w:r>
              <w:rPr>
                <w:rFonts w:hint="eastAsia"/>
                <w:b/>
                <w:color w:val="auto"/>
                <w:sz w:val="24"/>
              </w:rPr>
              <w:t>主柜体</w:t>
            </w:r>
          </w:p>
        </w:tc>
        <w:tc>
          <w:tcPr>
            <w:tcW w:w="7905" w:type="dxa"/>
            <w:vAlign w:val="center"/>
          </w:tcPr>
          <w:p>
            <w:pPr>
              <w:jc w:val="left"/>
              <w:rPr>
                <w:color w:val="auto"/>
                <w:sz w:val="24"/>
              </w:rPr>
            </w:pPr>
            <w:r>
              <w:rPr>
                <w:color w:val="auto"/>
                <w:sz w:val="24"/>
              </w:rPr>
              <w:t>1.1</w:t>
            </w:r>
            <w:r>
              <w:rPr>
                <w:rFonts w:hint="eastAsia"/>
                <w:color w:val="auto"/>
                <w:sz w:val="24"/>
              </w:rPr>
              <w:t>规格（</w:t>
            </w:r>
            <w:r>
              <w:rPr>
                <w:color w:val="auto"/>
                <w:sz w:val="24"/>
              </w:rPr>
              <w:t>L*W*H</w:t>
            </w:r>
            <w:r>
              <w:rPr>
                <w:rFonts w:hint="eastAsia"/>
                <w:color w:val="auto"/>
                <w:sz w:val="24"/>
              </w:rPr>
              <w:t>）：</w:t>
            </w:r>
            <w:r>
              <w:rPr>
                <w:color w:val="auto"/>
                <w:sz w:val="24"/>
              </w:rPr>
              <w:t>6000mm*2500mm*2900mm</w:t>
            </w:r>
            <w:r>
              <w:rPr>
                <w:rFonts w:hint="eastAsia"/>
                <w:color w:val="auto"/>
                <w:sz w:val="24"/>
              </w:rPr>
              <w:t>，偏差</w:t>
            </w:r>
            <w:r>
              <w:rPr>
                <w:color w:val="auto"/>
                <w:sz w:val="24"/>
              </w:rPr>
              <w:t>±5%</w:t>
            </w:r>
            <w:r>
              <w:rPr>
                <w:rFonts w:hint="eastAsia"/>
                <w:color w:val="auto"/>
                <w:sz w:val="24"/>
              </w:rPr>
              <w:t>。外形尺寸为标准集装箱尺寸，方便移动运输；</w:t>
            </w:r>
          </w:p>
          <w:p>
            <w:pPr>
              <w:jc w:val="left"/>
              <w:rPr>
                <w:color w:val="auto"/>
                <w:sz w:val="24"/>
              </w:rPr>
            </w:pPr>
            <w:r>
              <w:rPr>
                <w:rFonts w:hint="eastAsia"/>
                <w:color w:val="auto"/>
                <w:sz w:val="24"/>
              </w:rPr>
              <w:t>★外形要求：柜体正入口整体向内部凹</w:t>
            </w:r>
            <w:r>
              <w:rPr>
                <w:color w:val="auto"/>
                <w:sz w:val="24"/>
              </w:rPr>
              <w:t>500mm</w:t>
            </w:r>
            <w:r>
              <w:rPr>
                <w:rFonts w:hint="eastAsia"/>
                <w:color w:val="auto"/>
                <w:sz w:val="24"/>
              </w:rPr>
              <w:t>，预留人员操作及防护准备的空间。</w:t>
            </w:r>
          </w:p>
          <w:p>
            <w:pPr>
              <w:jc w:val="left"/>
              <w:rPr>
                <w:color w:val="auto"/>
                <w:sz w:val="24"/>
              </w:rPr>
            </w:pPr>
            <w:r>
              <w:rPr>
                <w:rFonts w:hint="eastAsia"/>
                <w:color w:val="auto"/>
                <w:sz w:val="24"/>
              </w:rPr>
              <w:t>提供已使用客户现场实景照片并提供实际用户的单位名称、联系人及联系电话，已备核实。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85" w:hRule="atLeast"/>
          <w:tblHeader/>
        </w:trPr>
        <w:tc>
          <w:tcPr>
            <w:tcW w:w="698" w:type="dxa"/>
            <w:vMerge w:val="continue"/>
            <w:shd w:val="clear" w:color="auto" w:fill="B8CCE4"/>
            <w:vAlign w:val="center"/>
          </w:tcPr>
          <w:p>
            <w:pPr>
              <w:pStyle w:val="129"/>
              <w:numPr>
                <w:ilvl w:val="0"/>
                <w:numId w:val="63"/>
              </w:numPr>
              <w:spacing w:line="360" w:lineRule="auto"/>
              <w:ind w:firstLineChars="0"/>
              <w:jc w:val="center"/>
              <w:rPr>
                <w:color w:val="auto"/>
              </w:rPr>
            </w:pPr>
          </w:p>
        </w:tc>
        <w:tc>
          <w:tcPr>
            <w:tcW w:w="1377" w:type="dxa"/>
            <w:vMerge w:val="continue"/>
            <w:vAlign w:val="center"/>
          </w:tcPr>
          <w:p>
            <w:pPr>
              <w:pStyle w:val="129"/>
              <w:spacing w:line="360" w:lineRule="auto"/>
              <w:ind w:left="420" w:firstLine="0" w:firstLineChars="0"/>
              <w:jc w:val="center"/>
              <w:rPr>
                <w:b/>
                <w:color w:val="auto"/>
                <w:sz w:val="24"/>
              </w:rPr>
            </w:pPr>
          </w:p>
        </w:tc>
        <w:tc>
          <w:tcPr>
            <w:tcW w:w="7905" w:type="dxa"/>
            <w:vAlign w:val="center"/>
          </w:tcPr>
          <w:p>
            <w:pPr>
              <w:jc w:val="left"/>
              <w:rPr>
                <w:color w:val="auto"/>
                <w:sz w:val="24"/>
              </w:rPr>
            </w:pPr>
            <w:r>
              <w:rPr>
                <w:color w:val="auto"/>
                <w:sz w:val="24"/>
              </w:rPr>
              <w:t>1.2</w:t>
            </w:r>
            <w:r>
              <w:rPr>
                <w:rFonts w:hint="eastAsia"/>
                <w:color w:val="auto"/>
                <w:sz w:val="24"/>
              </w:rPr>
              <w:t>柜体框架主要为</w:t>
            </w:r>
            <w:r>
              <w:rPr>
                <w:color w:val="auto"/>
                <w:sz w:val="24"/>
              </w:rPr>
              <w:t>corten A</w:t>
            </w:r>
            <w:r>
              <w:rPr>
                <w:rFonts w:hint="eastAsia"/>
                <w:color w:val="auto"/>
                <w:sz w:val="24"/>
              </w:rPr>
              <w:t>钢板，柜体具有防腐功能。外柜体由钢质的框架、垂直波纹的侧板和端面、全部横向的垂直波纹的顶板，材为</w:t>
            </w:r>
            <w:r>
              <w:rPr>
                <w:color w:val="auto"/>
                <w:sz w:val="24"/>
              </w:rPr>
              <w:t>3mm-6mm</w:t>
            </w:r>
            <w:r>
              <w:rPr>
                <w:rFonts w:hint="eastAsia"/>
                <w:color w:val="auto"/>
                <w:sz w:val="24"/>
              </w:rPr>
              <w:t>经过预处理的热轧板，除型材外全部为</w:t>
            </w:r>
            <w:r>
              <w:rPr>
                <w:color w:val="auto"/>
                <w:sz w:val="24"/>
              </w:rPr>
              <w:t>3mm</w:t>
            </w:r>
            <w:r>
              <w:rPr>
                <w:rFonts w:hint="eastAsia"/>
                <w:color w:val="auto"/>
                <w:sz w:val="24"/>
              </w:rPr>
              <w:t>冷轧钢板压制而成。箱体</w:t>
            </w:r>
            <w:r>
              <w:rPr>
                <w:color w:val="auto"/>
                <w:sz w:val="24"/>
              </w:rPr>
              <w:t>8</w:t>
            </w:r>
            <w:r>
              <w:rPr>
                <w:rFonts w:hint="eastAsia"/>
                <w:color w:val="auto"/>
                <w:sz w:val="24"/>
              </w:rPr>
              <w:t>个角采用标准</w:t>
            </w:r>
            <w:r>
              <w:rPr>
                <w:color w:val="auto"/>
                <w:sz w:val="24"/>
              </w:rPr>
              <w:t>ISO</w:t>
            </w:r>
            <w:r>
              <w:rPr>
                <w:rFonts w:hint="eastAsia"/>
                <w:color w:val="auto"/>
                <w:sz w:val="24"/>
              </w:rPr>
              <w:t>角件。防火门上加装通风百叶窗，百叶窗内部。柜体外部整体喷涂防锈油漆，内墙壁涂覆防腐油漆，全柜整体具有防腐能力；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19" w:hRule="atLeast"/>
          <w:tblHeader/>
        </w:trPr>
        <w:tc>
          <w:tcPr>
            <w:tcW w:w="698" w:type="dxa"/>
            <w:vMerge w:val="continue"/>
            <w:shd w:val="clear" w:color="auto" w:fill="B8CCE4"/>
            <w:vAlign w:val="center"/>
          </w:tcPr>
          <w:p>
            <w:pPr>
              <w:pStyle w:val="129"/>
              <w:numPr>
                <w:ilvl w:val="0"/>
                <w:numId w:val="63"/>
              </w:numPr>
              <w:spacing w:line="360" w:lineRule="auto"/>
              <w:ind w:firstLineChars="0"/>
              <w:jc w:val="center"/>
              <w:rPr>
                <w:color w:val="auto"/>
              </w:rPr>
            </w:pPr>
          </w:p>
        </w:tc>
        <w:tc>
          <w:tcPr>
            <w:tcW w:w="1377" w:type="dxa"/>
            <w:vMerge w:val="continue"/>
            <w:vAlign w:val="center"/>
          </w:tcPr>
          <w:p>
            <w:pPr>
              <w:pStyle w:val="129"/>
              <w:spacing w:line="360" w:lineRule="auto"/>
              <w:ind w:left="420" w:firstLine="0" w:firstLineChars="0"/>
              <w:jc w:val="center"/>
              <w:rPr>
                <w:b/>
                <w:color w:val="auto"/>
                <w:sz w:val="24"/>
              </w:rPr>
            </w:pPr>
          </w:p>
        </w:tc>
        <w:tc>
          <w:tcPr>
            <w:tcW w:w="7905" w:type="dxa"/>
            <w:vAlign w:val="center"/>
          </w:tcPr>
          <w:p>
            <w:pPr>
              <w:jc w:val="left"/>
              <w:rPr>
                <w:color w:val="auto"/>
                <w:sz w:val="24"/>
              </w:rPr>
            </w:pPr>
            <w:r>
              <w:rPr>
                <w:color w:val="auto"/>
                <w:sz w:val="24"/>
              </w:rPr>
              <w:t>1.3</w:t>
            </w:r>
            <w:r>
              <w:rPr>
                <w:rFonts w:hint="eastAsia"/>
                <w:color w:val="auto"/>
                <w:sz w:val="24"/>
              </w:rPr>
              <w:t>柜体设有可从内部打开的钢制防火防盗门</w:t>
            </w:r>
            <w:r>
              <w:rPr>
                <w:color w:val="auto"/>
                <w:sz w:val="24"/>
              </w:rPr>
              <w:t>,</w:t>
            </w:r>
            <w:r>
              <w:rPr>
                <w:rFonts w:hint="eastAsia"/>
                <w:color w:val="auto"/>
                <w:sz w:val="24"/>
              </w:rPr>
              <w:t>分别为正面出入防盗门和背面应急防盗门；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19" w:hRule="atLeast"/>
          <w:tblHeader/>
        </w:trPr>
        <w:tc>
          <w:tcPr>
            <w:tcW w:w="698" w:type="dxa"/>
            <w:vMerge w:val="continue"/>
            <w:shd w:val="clear" w:color="auto" w:fill="B8CCE4"/>
            <w:vAlign w:val="center"/>
          </w:tcPr>
          <w:p>
            <w:pPr>
              <w:pStyle w:val="129"/>
              <w:numPr>
                <w:ilvl w:val="0"/>
                <w:numId w:val="63"/>
              </w:numPr>
              <w:spacing w:line="360" w:lineRule="auto"/>
              <w:ind w:firstLineChars="0"/>
              <w:jc w:val="center"/>
              <w:rPr>
                <w:color w:val="auto"/>
              </w:rPr>
            </w:pPr>
          </w:p>
        </w:tc>
        <w:tc>
          <w:tcPr>
            <w:tcW w:w="1377" w:type="dxa"/>
            <w:vMerge w:val="continue"/>
            <w:vAlign w:val="center"/>
          </w:tcPr>
          <w:p>
            <w:pPr>
              <w:pStyle w:val="129"/>
              <w:spacing w:line="360" w:lineRule="auto"/>
              <w:ind w:left="420" w:firstLine="0" w:firstLineChars="0"/>
              <w:jc w:val="center"/>
              <w:rPr>
                <w:b/>
                <w:color w:val="auto"/>
                <w:sz w:val="24"/>
              </w:rPr>
            </w:pPr>
          </w:p>
        </w:tc>
        <w:tc>
          <w:tcPr>
            <w:tcW w:w="7905" w:type="dxa"/>
            <w:vAlign w:val="center"/>
          </w:tcPr>
          <w:p>
            <w:pPr>
              <w:jc w:val="left"/>
              <w:rPr>
                <w:color w:val="auto"/>
                <w:sz w:val="24"/>
              </w:rPr>
            </w:pPr>
            <w:r>
              <w:rPr>
                <w:color w:val="auto"/>
                <w:sz w:val="24"/>
              </w:rPr>
              <w:t>1.4</w:t>
            </w:r>
            <w:r>
              <w:rPr>
                <w:rFonts w:hint="eastAsia"/>
                <w:color w:val="auto"/>
                <w:sz w:val="24"/>
              </w:rPr>
              <w:t>柜体两侧各开四个通风百叶窗，百叶窗内部增加防虫鼠网，通风装置的材料为不可燃或阻燃材质；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2" w:hRule="atLeast"/>
          <w:tblHeader/>
        </w:trPr>
        <w:tc>
          <w:tcPr>
            <w:tcW w:w="698" w:type="dxa"/>
            <w:vMerge w:val="continue"/>
            <w:shd w:val="clear" w:color="auto" w:fill="B8CCE4"/>
            <w:vAlign w:val="center"/>
          </w:tcPr>
          <w:p>
            <w:pPr>
              <w:pStyle w:val="129"/>
              <w:numPr>
                <w:ilvl w:val="0"/>
                <w:numId w:val="63"/>
              </w:numPr>
              <w:spacing w:line="360" w:lineRule="auto"/>
              <w:ind w:firstLineChars="0"/>
              <w:jc w:val="center"/>
              <w:rPr>
                <w:color w:val="auto"/>
              </w:rPr>
            </w:pPr>
          </w:p>
        </w:tc>
        <w:tc>
          <w:tcPr>
            <w:tcW w:w="1377" w:type="dxa"/>
            <w:vMerge w:val="continue"/>
            <w:vAlign w:val="center"/>
          </w:tcPr>
          <w:p>
            <w:pPr>
              <w:pStyle w:val="129"/>
              <w:spacing w:line="360" w:lineRule="auto"/>
              <w:ind w:left="420" w:firstLine="0" w:firstLineChars="0"/>
              <w:jc w:val="center"/>
              <w:rPr>
                <w:b/>
                <w:color w:val="auto"/>
                <w:sz w:val="24"/>
              </w:rPr>
            </w:pPr>
          </w:p>
        </w:tc>
        <w:tc>
          <w:tcPr>
            <w:tcW w:w="7905" w:type="dxa"/>
            <w:vAlign w:val="center"/>
          </w:tcPr>
          <w:p>
            <w:pPr>
              <w:jc w:val="left"/>
              <w:rPr>
                <w:color w:val="auto"/>
                <w:sz w:val="24"/>
              </w:rPr>
            </w:pPr>
            <w:r>
              <w:rPr>
                <w:color w:val="auto"/>
                <w:sz w:val="24"/>
              </w:rPr>
              <w:t>1.5</w:t>
            </w:r>
            <w:r>
              <w:rPr>
                <w:rFonts w:hint="eastAsia"/>
                <w:color w:val="auto"/>
                <w:sz w:val="24"/>
              </w:rPr>
              <w:t>柜体为双层保温结构</w:t>
            </w:r>
            <w:r>
              <w:rPr>
                <w:color w:val="auto"/>
                <w:sz w:val="24"/>
              </w:rPr>
              <w:t>,</w:t>
            </w:r>
            <w:r>
              <w:rPr>
                <w:rFonts w:hint="eastAsia"/>
                <w:color w:val="auto"/>
                <w:sz w:val="24"/>
              </w:rPr>
              <w:t>柜体内壁使用</w:t>
            </w:r>
            <w:r>
              <w:rPr>
                <w:color w:val="auto"/>
                <w:sz w:val="24"/>
              </w:rPr>
              <w:t>A</w:t>
            </w:r>
            <w:r>
              <w:rPr>
                <w:rFonts w:hint="eastAsia"/>
                <w:color w:val="auto"/>
                <w:sz w:val="24"/>
              </w:rPr>
              <w:t>级防火隔热，隔热层厚度≥</w:t>
            </w:r>
            <w:r>
              <w:rPr>
                <w:color w:val="auto"/>
                <w:sz w:val="24"/>
              </w:rPr>
              <w:t>50mm</w:t>
            </w:r>
            <w:r>
              <w:rPr>
                <w:rFonts w:hint="eastAsia"/>
                <w:color w:val="auto"/>
                <w:sz w:val="24"/>
              </w:rPr>
              <w:t>；密度不低于</w:t>
            </w:r>
            <w:r>
              <w:rPr>
                <w:color w:val="auto"/>
                <w:sz w:val="24"/>
              </w:rPr>
              <w:t>128kg/m</w:t>
            </w:r>
            <w:r>
              <w:rPr>
                <w:rFonts w:hint="eastAsia"/>
                <w:color w:val="auto"/>
                <w:sz w:val="24"/>
              </w:rPr>
              <w:t>³的保温阻燃陶瓷纤维；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19" w:hRule="atLeast"/>
          <w:tblHeader/>
        </w:trPr>
        <w:tc>
          <w:tcPr>
            <w:tcW w:w="698" w:type="dxa"/>
            <w:vMerge w:val="continue"/>
            <w:shd w:val="clear" w:color="auto" w:fill="B8CCE4"/>
            <w:vAlign w:val="center"/>
          </w:tcPr>
          <w:p>
            <w:pPr>
              <w:pStyle w:val="129"/>
              <w:numPr>
                <w:ilvl w:val="0"/>
                <w:numId w:val="63"/>
              </w:numPr>
              <w:spacing w:line="360" w:lineRule="auto"/>
              <w:ind w:firstLineChars="0"/>
              <w:jc w:val="center"/>
              <w:rPr>
                <w:color w:val="auto"/>
              </w:rPr>
            </w:pPr>
          </w:p>
        </w:tc>
        <w:tc>
          <w:tcPr>
            <w:tcW w:w="1377" w:type="dxa"/>
            <w:vMerge w:val="continue"/>
            <w:vAlign w:val="center"/>
          </w:tcPr>
          <w:p>
            <w:pPr>
              <w:pStyle w:val="129"/>
              <w:spacing w:line="360" w:lineRule="auto"/>
              <w:ind w:left="420" w:firstLine="0" w:firstLineChars="0"/>
              <w:jc w:val="center"/>
              <w:rPr>
                <w:b/>
                <w:color w:val="auto"/>
                <w:sz w:val="24"/>
              </w:rPr>
            </w:pPr>
          </w:p>
        </w:tc>
        <w:tc>
          <w:tcPr>
            <w:tcW w:w="7905" w:type="dxa"/>
            <w:vAlign w:val="center"/>
          </w:tcPr>
          <w:p>
            <w:pPr>
              <w:jc w:val="left"/>
              <w:rPr>
                <w:color w:val="auto"/>
                <w:sz w:val="24"/>
              </w:rPr>
            </w:pPr>
            <w:r>
              <w:rPr>
                <w:color w:val="auto"/>
                <w:sz w:val="24"/>
              </w:rPr>
              <w:t>1.6</w:t>
            </w:r>
            <w:r>
              <w:rPr>
                <w:rFonts w:hint="eastAsia"/>
                <w:color w:val="auto"/>
                <w:sz w:val="24"/>
              </w:rPr>
              <w:t>柜体内部地板采用不发火花房静电防腐地胶板，厚度≥</w:t>
            </w:r>
            <w:r>
              <w:rPr>
                <w:color w:val="auto"/>
                <w:sz w:val="24"/>
              </w:rPr>
              <w:t>3mm</w:t>
            </w:r>
            <w:r>
              <w:rPr>
                <w:rFonts w:hint="eastAsia"/>
                <w:color w:val="auto"/>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19" w:hRule="atLeast"/>
          <w:tblHeader/>
        </w:trPr>
        <w:tc>
          <w:tcPr>
            <w:tcW w:w="698" w:type="dxa"/>
            <w:vMerge w:val="continue"/>
            <w:shd w:val="clear" w:color="auto" w:fill="B8CCE4"/>
            <w:vAlign w:val="center"/>
          </w:tcPr>
          <w:p>
            <w:pPr>
              <w:pStyle w:val="129"/>
              <w:numPr>
                <w:ilvl w:val="0"/>
                <w:numId w:val="63"/>
              </w:numPr>
              <w:spacing w:line="360" w:lineRule="auto"/>
              <w:ind w:firstLineChars="0"/>
              <w:jc w:val="center"/>
              <w:rPr>
                <w:color w:val="auto"/>
              </w:rPr>
            </w:pPr>
          </w:p>
        </w:tc>
        <w:tc>
          <w:tcPr>
            <w:tcW w:w="1377" w:type="dxa"/>
            <w:vMerge w:val="continue"/>
            <w:vAlign w:val="center"/>
          </w:tcPr>
          <w:p>
            <w:pPr>
              <w:pStyle w:val="129"/>
              <w:spacing w:line="360" w:lineRule="auto"/>
              <w:ind w:left="420" w:firstLine="0" w:firstLineChars="0"/>
              <w:jc w:val="center"/>
              <w:rPr>
                <w:b/>
                <w:color w:val="auto"/>
                <w:sz w:val="24"/>
              </w:rPr>
            </w:pPr>
          </w:p>
        </w:tc>
        <w:tc>
          <w:tcPr>
            <w:tcW w:w="7905" w:type="dxa"/>
            <w:vAlign w:val="center"/>
          </w:tcPr>
          <w:p>
            <w:pPr>
              <w:jc w:val="left"/>
              <w:rPr>
                <w:color w:val="auto"/>
                <w:sz w:val="24"/>
              </w:rPr>
            </w:pPr>
            <w:r>
              <w:rPr>
                <w:color w:val="auto"/>
                <w:sz w:val="24"/>
              </w:rPr>
              <w:t>1.7</w:t>
            </w:r>
            <w:r>
              <w:rPr>
                <w:rFonts w:hint="eastAsia"/>
                <w:color w:val="auto"/>
                <w:sz w:val="24"/>
              </w:rPr>
              <w:t>柜体具有泄压设施或泄压点，泄压面积应≥</w:t>
            </w:r>
            <w:r>
              <w:rPr>
                <w:color w:val="auto"/>
                <w:sz w:val="24"/>
              </w:rPr>
              <w:t xml:space="preserve">0.110 </w:t>
            </w:r>
            <w:r>
              <w:rPr>
                <w:rFonts w:hint="eastAsia"/>
                <w:color w:val="auto"/>
                <w:sz w:val="24"/>
              </w:rPr>
              <w:t>㎡</w:t>
            </w:r>
            <w:r>
              <w:rPr>
                <w:color w:val="auto"/>
                <w:sz w:val="24"/>
              </w:rPr>
              <w:t>/m</w:t>
            </w:r>
            <w:r>
              <w:rPr>
                <w:rFonts w:hint="eastAsia"/>
                <w:color w:val="auto"/>
                <w:sz w:val="24"/>
              </w:rPr>
              <w:t>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19" w:hRule="atLeast"/>
          <w:tblHeader/>
        </w:trPr>
        <w:tc>
          <w:tcPr>
            <w:tcW w:w="698" w:type="dxa"/>
            <w:vMerge w:val="continue"/>
            <w:shd w:val="clear" w:color="auto" w:fill="B8CCE4"/>
            <w:vAlign w:val="center"/>
          </w:tcPr>
          <w:p>
            <w:pPr>
              <w:pStyle w:val="129"/>
              <w:numPr>
                <w:ilvl w:val="0"/>
                <w:numId w:val="63"/>
              </w:numPr>
              <w:spacing w:line="360" w:lineRule="auto"/>
              <w:ind w:firstLineChars="0"/>
              <w:jc w:val="center"/>
              <w:rPr>
                <w:color w:val="auto"/>
              </w:rPr>
            </w:pPr>
          </w:p>
        </w:tc>
        <w:tc>
          <w:tcPr>
            <w:tcW w:w="1377" w:type="dxa"/>
            <w:vMerge w:val="continue"/>
            <w:vAlign w:val="center"/>
          </w:tcPr>
          <w:p>
            <w:pPr>
              <w:pStyle w:val="129"/>
              <w:spacing w:line="360" w:lineRule="auto"/>
              <w:ind w:left="420" w:firstLine="0" w:firstLineChars="0"/>
              <w:jc w:val="center"/>
              <w:rPr>
                <w:b/>
                <w:color w:val="auto"/>
                <w:sz w:val="24"/>
              </w:rPr>
            </w:pPr>
          </w:p>
        </w:tc>
        <w:tc>
          <w:tcPr>
            <w:tcW w:w="7905" w:type="dxa"/>
            <w:vAlign w:val="center"/>
          </w:tcPr>
          <w:p>
            <w:pPr>
              <w:jc w:val="left"/>
              <w:rPr>
                <w:color w:val="auto"/>
                <w:sz w:val="24"/>
              </w:rPr>
            </w:pPr>
            <w:r>
              <w:rPr>
                <w:color w:val="auto"/>
                <w:sz w:val="24"/>
              </w:rPr>
              <w:t>1.8</w:t>
            </w:r>
            <w:r>
              <w:rPr>
                <w:rFonts w:hint="eastAsia"/>
                <w:color w:val="auto"/>
                <w:sz w:val="24"/>
              </w:rPr>
              <w:t>柜体所有门窗开合部分采取有效措施排除因开关时摩擦碰撞可能产生的火花。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19" w:hRule="atLeast"/>
          <w:tblHeader/>
        </w:trPr>
        <w:tc>
          <w:tcPr>
            <w:tcW w:w="698" w:type="dxa"/>
            <w:vMerge w:val="continue"/>
            <w:shd w:val="clear" w:color="auto" w:fill="B8CCE4"/>
            <w:vAlign w:val="center"/>
          </w:tcPr>
          <w:p>
            <w:pPr>
              <w:pStyle w:val="129"/>
              <w:numPr>
                <w:ilvl w:val="0"/>
                <w:numId w:val="63"/>
              </w:numPr>
              <w:spacing w:line="360" w:lineRule="auto"/>
              <w:ind w:firstLineChars="0"/>
              <w:jc w:val="center"/>
              <w:rPr>
                <w:color w:val="auto"/>
              </w:rPr>
            </w:pPr>
          </w:p>
        </w:tc>
        <w:tc>
          <w:tcPr>
            <w:tcW w:w="1377" w:type="dxa"/>
            <w:vMerge w:val="continue"/>
            <w:vAlign w:val="center"/>
          </w:tcPr>
          <w:p>
            <w:pPr>
              <w:pStyle w:val="129"/>
              <w:spacing w:line="360" w:lineRule="auto"/>
              <w:ind w:left="420" w:firstLine="0" w:firstLineChars="0"/>
              <w:jc w:val="center"/>
              <w:rPr>
                <w:b/>
                <w:color w:val="auto"/>
                <w:sz w:val="24"/>
              </w:rPr>
            </w:pPr>
          </w:p>
        </w:tc>
        <w:tc>
          <w:tcPr>
            <w:tcW w:w="7905" w:type="dxa"/>
            <w:vAlign w:val="center"/>
          </w:tcPr>
          <w:p>
            <w:pPr>
              <w:jc w:val="left"/>
              <w:rPr>
                <w:color w:val="auto"/>
                <w:sz w:val="24"/>
              </w:rPr>
            </w:pPr>
            <w:r>
              <w:rPr>
                <w:color w:val="auto"/>
                <w:sz w:val="24"/>
              </w:rPr>
              <w:t>1.9</w:t>
            </w:r>
            <w:r>
              <w:rPr>
                <w:rFonts w:hint="eastAsia"/>
                <w:color w:val="auto"/>
                <w:sz w:val="24"/>
              </w:rPr>
              <w:t>采用标准国际海运集装箱作为柜体，柜体框架需符合国际船级社检测标准，具有《船级社证书》。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85" w:hRule="atLeast"/>
          <w:tblHeader/>
        </w:trPr>
        <w:tc>
          <w:tcPr>
            <w:tcW w:w="698" w:type="dxa"/>
            <w:vMerge w:val="restart"/>
            <w:shd w:val="clear" w:color="auto" w:fill="B8CCE4"/>
            <w:vAlign w:val="center"/>
          </w:tcPr>
          <w:p>
            <w:pPr>
              <w:pStyle w:val="129"/>
              <w:numPr>
                <w:ilvl w:val="0"/>
                <w:numId w:val="63"/>
              </w:numPr>
              <w:spacing w:line="360" w:lineRule="auto"/>
              <w:ind w:firstLineChars="0"/>
              <w:jc w:val="center"/>
              <w:rPr>
                <w:color w:val="auto"/>
              </w:rPr>
            </w:pPr>
          </w:p>
        </w:tc>
        <w:tc>
          <w:tcPr>
            <w:tcW w:w="1377" w:type="dxa"/>
            <w:vMerge w:val="restart"/>
            <w:vAlign w:val="center"/>
          </w:tcPr>
          <w:p>
            <w:pPr>
              <w:spacing w:line="360" w:lineRule="auto"/>
              <w:jc w:val="center"/>
              <w:rPr>
                <w:rFonts w:ascii="新宋体" w:hAnsi="新宋体" w:eastAsia="新宋体"/>
                <w:bCs/>
                <w:color w:val="auto"/>
                <w:sz w:val="24"/>
              </w:rPr>
            </w:pPr>
            <w:r>
              <w:rPr>
                <w:rStyle w:val="40"/>
                <w:rFonts w:hint="eastAsia" w:ascii="新宋体" w:hAnsi="新宋体" w:eastAsia="新宋体"/>
                <w:color w:val="auto"/>
                <w:sz w:val="24"/>
              </w:rPr>
              <w:t>分类储存功能</w:t>
            </w:r>
          </w:p>
        </w:tc>
        <w:tc>
          <w:tcPr>
            <w:tcW w:w="7905" w:type="dxa"/>
            <w:vAlign w:val="center"/>
          </w:tcPr>
          <w:p>
            <w:pPr>
              <w:jc w:val="left"/>
              <w:rPr>
                <w:b/>
                <w:color w:val="auto"/>
                <w:sz w:val="24"/>
              </w:rPr>
            </w:pPr>
            <w:r>
              <w:rPr>
                <w:color w:val="auto"/>
                <w:sz w:val="24"/>
              </w:rPr>
              <w:t>2.1</w:t>
            </w:r>
            <w:r>
              <w:rPr>
                <w:rFonts w:hint="eastAsia"/>
                <w:color w:val="auto"/>
                <w:sz w:val="24"/>
              </w:rPr>
              <w:t>开放式货架：</w:t>
            </w:r>
          </w:p>
          <w:p>
            <w:pPr>
              <w:jc w:val="left"/>
              <w:rPr>
                <w:color w:val="auto"/>
                <w:sz w:val="24"/>
              </w:rPr>
            </w:pPr>
            <w:r>
              <w:rPr>
                <w:color w:val="auto"/>
                <w:sz w:val="24"/>
              </w:rPr>
              <w:t>2.1.1</w:t>
            </w:r>
            <w:r>
              <w:rPr>
                <w:rFonts w:hint="eastAsia"/>
                <w:color w:val="auto"/>
                <w:sz w:val="24"/>
              </w:rPr>
              <w:t>货架规格</w:t>
            </w:r>
            <w:r>
              <w:rPr>
                <w:color w:val="auto"/>
                <w:sz w:val="24"/>
              </w:rPr>
              <w:t>(</w:t>
            </w:r>
            <w:r>
              <w:rPr>
                <w:rFonts w:hint="eastAsia"/>
                <w:color w:val="auto"/>
                <w:sz w:val="24"/>
              </w:rPr>
              <w:t>长</w:t>
            </w:r>
            <w:r>
              <w:rPr>
                <w:color w:val="auto"/>
                <w:sz w:val="24"/>
              </w:rPr>
              <w:t>x</w:t>
            </w:r>
            <w:r>
              <w:rPr>
                <w:rFonts w:hint="eastAsia"/>
                <w:color w:val="auto"/>
                <w:sz w:val="24"/>
              </w:rPr>
              <w:t>宽</w:t>
            </w:r>
            <w:r>
              <w:rPr>
                <w:color w:val="auto"/>
                <w:sz w:val="24"/>
              </w:rPr>
              <w:t>x</w:t>
            </w:r>
            <w:r>
              <w:rPr>
                <w:rFonts w:hint="eastAsia"/>
                <w:color w:val="auto"/>
                <w:sz w:val="24"/>
              </w:rPr>
              <w:t>高</w:t>
            </w:r>
            <w:r>
              <w:rPr>
                <w:color w:val="auto"/>
                <w:sz w:val="24"/>
              </w:rPr>
              <w:t>)1500mm</w:t>
            </w:r>
            <w:r>
              <w:rPr>
                <w:rFonts w:hint="eastAsia"/>
                <w:color w:val="auto"/>
                <w:sz w:val="24"/>
              </w:rPr>
              <w:t>×</w:t>
            </w:r>
            <w:r>
              <w:rPr>
                <w:color w:val="auto"/>
                <w:sz w:val="24"/>
              </w:rPr>
              <w:t>500mm</w:t>
            </w:r>
            <w:r>
              <w:rPr>
                <w:rFonts w:hint="eastAsia"/>
                <w:color w:val="auto"/>
                <w:sz w:val="24"/>
              </w:rPr>
              <w:t>×</w:t>
            </w:r>
            <w:r>
              <w:rPr>
                <w:color w:val="auto"/>
                <w:sz w:val="24"/>
              </w:rPr>
              <w:t>1500mm</w:t>
            </w:r>
            <w:r>
              <w:rPr>
                <w:rFonts w:hint="eastAsia"/>
                <w:color w:val="auto"/>
                <w:sz w:val="24"/>
              </w:rPr>
              <w:t>，组合式安装；货架分为三层，每层承重≥</w:t>
            </w:r>
            <w:r>
              <w:rPr>
                <w:color w:val="auto"/>
                <w:sz w:val="24"/>
              </w:rPr>
              <w:t>300Kg</w:t>
            </w:r>
            <w:r>
              <w:rPr>
                <w:rFonts w:hint="eastAsia"/>
                <w:color w:val="auto"/>
                <w:sz w:val="24"/>
              </w:rPr>
              <w:t>，每层有可拆卸防倒护栏；</w:t>
            </w:r>
          </w:p>
          <w:p>
            <w:pPr>
              <w:jc w:val="left"/>
              <w:rPr>
                <w:color w:val="auto"/>
                <w:sz w:val="24"/>
              </w:rPr>
            </w:pPr>
            <w:r>
              <w:rPr>
                <w:color w:val="auto"/>
                <w:sz w:val="24"/>
              </w:rPr>
              <w:t>2.1.2</w:t>
            </w:r>
            <w:r>
              <w:rPr>
                <w:rFonts w:hint="eastAsia"/>
                <w:color w:val="auto"/>
                <w:sz w:val="24"/>
              </w:rPr>
              <w:t>开放式货架采用</w:t>
            </w:r>
            <w:r>
              <w:rPr>
                <w:color w:val="auto"/>
                <w:sz w:val="24"/>
              </w:rPr>
              <w:t>316L</w:t>
            </w:r>
            <w:r>
              <w:rPr>
                <w:rFonts w:hint="eastAsia"/>
                <w:color w:val="auto"/>
                <w:sz w:val="24"/>
              </w:rPr>
              <w:t>壁厚型不锈钢材料，不锈钢构件均经过酸洗钝化以及静电处理，确保其耐腐蚀性能；</w:t>
            </w:r>
          </w:p>
          <w:p>
            <w:pPr>
              <w:jc w:val="left"/>
              <w:rPr>
                <w:color w:val="auto"/>
                <w:sz w:val="24"/>
              </w:rPr>
            </w:pPr>
            <w:r>
              <w:rPr>
                <w:color w:val="auto"/>
                <w:sz w:val="24"/>
              </w:rPr>
              <w:t>2.1.3</w:t>
            </w:r>
            <w:r>
              <w:rPr>
                <w:rFonts w:hint="eastAsia"/>
                <w:color w:val="auto"/>
                <w:sz w:val="24"/>
              </w:rPr>
              <w:t>金属部件连接处经过静电处理。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561" w:hRule="atLeast"/>
          <w:tblHeader/>
        </w:trPr>
        <w:tc>
          <w:tcPr>
            <w:tcW w:w="698" w:type="dxa"/>
            <w:vMerge w:val="continue"/>
            <w:shd w:val="clear" w:color="auto" w:fill="B8CCE4"/>
            <w:vAlign w:val="center"/>
          </w:tcPr>
          <w:p>
            <w:pPr>
              <w:pStyle w:val="129"/>
              <w:numPr>
                <w:ilvl w:val="0"/>
                <w:numId w:val="63"/>
              </w:numPr>
              <w:spacing w:line="360" w:lineRule="auto"/>
              <w:ind w:firstLineChars="0"/>
              <w:jc w:val="center"/>
              <w:rPr>
                <w:color w:val="auto"/>
              </w:rPr>
            </w:pPr>
          </w:p>
        </w:tc>
        <w:tc>
          <w:tcPr>
            <w:tcW w:w="1377" w:type="dxa"/>
            <w:vMerge w:val="continue"/>
            <w:vAlign w:val="center"/>
          </w:tcPr>
          <w:p>
            <w:pPr>
              <w:spacing w:line="360" w:lineRule="auto"/>
              <w:jc w:val="center"/>
              <w:rPr>
                <w:rStyle w:val="40"/>
                <w:rFonts w:ascii="新宋体" w:hAnsi="新宋体" w:eastAsia="新宋体"/>
                <w:color w:val="auto"/>
                <w:sz w:val="24"/>
              </w:rPr>
            </w:pPr>
          </w:p>
        </w:tc>
        <w:tc>
          <w:tcPr>
            <w:tcW w:w="7905" w:type="dxa"/>
            <w:vAlign w:val="center"/>
          </w:tcPr>
          <w:p>
            <w:pPr>
              <w:jc w:val="left"/>
              <w:rPr>
                <w:color w:val="auto"/>
                <w:sz w:val="24"/>
              </w:rPr>
            </w:pPr>
            <w:r>
              <w:rPr>
                <w:color w:val="auto"/>
                <w:sz w:val="24"/>
              </w:rPr>
              <w:t>2.2 PP</w:t>
            </w:r>
            <w:r>
              <w:rPr>
                <w:rFonts w:hint="eastAsia"/>
                <w:color w:val="auto"/>
                <w:sz w:val="24"/>
              </w:rPr>
              <w:t>储存柜：</w:t>
            </w:r>
          </w:p>
          <w:p>
            <w:pPr>
              <w:ind w:right="-391" w:rightChars="-186"/>
              <w:jc w:val="left"/>
              <w:rPr>
                <w:color w:val="auto"/>
                <w:sz w:val="24"/>
              </w:rPr>
            </w:pPr>
            <w:r>
              <w:rPr>
                <w:color w:val="auto"/>
                <w:sz w:val="24"/>
              </w:rPr>
              <w:t>2.2.1</w:t>
            </w:r>
            <w:r>
              <w:rPr>
                <w:rFonts w:hint="eastAsia"/>
                <w:color w:val="auto"/>
                <w:sz w:val="24"/>
              </w:rPr>
              <w:t>柜内设耐腐蚀全</w:t>
            </w:r>
            <w:r>
              <w:rPr>
                <w:color w:val="auto"/>
                <w:sz w:val="24"/>
              </w:rPr>
              <w:t>PP</w:t>
            </w:r>
            <w:r>
              <w:rPr>
                <w:rFonts w:hint="eastAsia"/>
                <w:color w:val="auto"/>
                <w:sz w:val="24"/>
              </w:rPr>
              <w:t>储存柜，尺寸为</w:t>
            </w:r>
            <w:r>
              <w:rPr>
                <w:color w:val="auto"/>
                <w:sz w:val="24"/>
              </w:rPr>
              <w:t>(</w:t>
            </w:r>
            <w:r>
              <w:rPr>
                <w:rFonts w:hint="eastAsia"/>
                <w:color w:val="auto"/>
                <w:sz w:val="24"/>
              </w:rPr>
              <w:t>长</w:t>
            </w:r>
            <w:r>
              <w:rPr>
                <w:color w:val="auto"/>
                <w:sz w:val="24"/>
              </w:rPr>
              <w:t>x</w:t>
            </w:r>
            <w:r>
              <w:rPr>
                <w:rFonts w:hint="eastAsia"/>
                <w:color w:val="auto"/>
                <w:sz w:val="24"/>
              </w:rPr>
              <w:t>宽</w:t>
            </w:r>
            <w:r>
              <w:rPr>
                <w:color w:val="auto"/>
                <w:sz w:val="24"/>
              </w:rPr>
              <w:t>x</w:t>
            </w:r>
            <w:r>
              <w:rPr>
                <w:rFonts w:hint="eastAsia"/>
                <w:color w:val="auto"/>
                <w:sz w:val="24"/>
              </w:rPr>
              <w:t>高</w:t>
            </w:r>
            <w:r>
              <w:rPr>
                <w:color w:val="auto"/>
                <w:sz w:val="24"/>
              </w:rPr>
              <w:t>)</w:t>
            </w:r>
          </w:p>
          <w:p>
            <w:pPr>
              <w:ind w:right="-391" w:rightChars="-186"/>
              <w:jc w:val="left"/>
              <w:rPr>
                <w:color w:val="auto"/>
                <w:sz w:val="24"/>
              </w:rPr>
            </w:pPr>
            <w:r>
              <w:rPr>
                <w:color w:val="auto"/>
                <w:sz w:val="24"/>
              </w:rPr>
              <w:t>950mm x 450mmx1511mm</w:t>
            </w:r>
            <w:r>
              <w:rPr>
                <w:rFonts w:hint="eastAsia"/>
                <w:color w:val="auto"/>
                <w:sz w:val="24"/>
              </w:rPr>
              <w:t>；</w:t>
            </w:r>
          </w:p>
          <w:p>
            <w:pPr>
              <w:jc w:val="left"/>
              <w:rPr>
                <w:color w:val="auto"/>
                <w:sz w:val="24"/>
              </w:rPr>
            </w:pPr>
            <w:r>
              <w:rPr>
                <w:color w:val="auto"/>
                <w:sz w:val="24"/>
              </w:rPr>
              <w:t>2.2.2 PP</w:t>
            </w:r>
            <w:r>
              <w:rPr>
                <w:rFonts w:hint="eastAsia"/>
                <w:color w:val="auto"/>
                <w:sz w:val="24"/>
              </w:rPr>
              <w:t>储存柜主体材料为白色</w:t>
            </w:r>
            <w:r>
              <w:rPr>
                <w:color w:val="auto"/>
                <w:sz w:val="24"/>
              </w:rPr>
              <w:t>PP</w:t>
            </w:r>
            <w:r>
              <w:rPr>
                <w:rFonts w:hint="eastAsia"/>
                <w:color w:val="auto"/>
                <w:sz w:val="24"/>
              </w:rPr>
              <w:t>防火板折弯或焊接而成，单层承重不低于</w:t>
            </w:r>
            <w:r>
              <w:rPr>
                <w:color w:val="auto"/>
                <w:sz w:val="24"/>
              </w:rPr>
              <w:t>80Kg</w:t>
            </w:r>
            <w:r>
              <w:rPr>
                <w:rFonts w:hint="eastAsia"/>
                <w:color w:val="auto"/>
                <w:sz w:val="24"/>
              </w:rPr>
              <w:t>；</w:t>
            </w:r>
          </w:p>
          <w:p>
            <w:pPr>
              <w:jc w:val="left"/>
              <w:rPr>
                <w:color w:val="auto"/>
                <w:sz w:val="24"/>
              </w:rPr>
            </w:pPr>
            <w:r>
              <w:rPr>
                <w:color w:val="auto"/>
                <w:sz w:val="24"/>
              </w:rPr>
              <w:t>2.2.3</w:t>
            </w:r>
            <w:r>
              <w:rPr>
                <w:rFonts w:hint="eastAsia"/>
                <w:color w:val="auto"/>
                <w:sz w:val="24"/>
              </w:rPr>
              <w:t>柜顶部设有排风口，柜体底部设有进风口；</w:t>
            </w:r>
          </w:p>
          <w:p>
            <w:pPr>
              <w:jc w:val="left"/>
              <w:rPr>
                <w:color w:val="auto"/>
                <w:sz w:val="24"/>
              </w:rPr>
            </w:pPr>
            <w:r>
              <w:rPr>
                <w:color w:val="auto"/>
                <w:sz w:val="24"/>
              </w:rPr>
              <w:t>2.2.4 PP</w:t>
            </w:r>
            <w:r>
              <w:rPr>
                <w:rFonts w:hint="eastAsia"/>
                <w:color w:val="auto"/>
                <w:sz w:val="24"/>
              </w:rPr>
              <w:t>防火板具有负荷变形温度、维卡软化温度检测报告；</w:t>
            </w:r>
          </w:p>
          <w:p>
            <w:pPr>
              <w:jc w:val="left"/>
              <w:rPr>
                <w:color w:val="auto"/>
                <w:sz w:val="24"/>
              </w:rPr>
            </w:pPr>
            <w:r>
              <w:rPr>
                <w:color w:val="auto"/>
                <w:sz w:val="24"/>
              </w:rPr>
              <w:t>2.3</w:t>
            </w:r>
            <w:r>
              <w:rPr>
                <w:rFonts w:hint="eastAsia"/>
                <w:color w:val="auto"/>
                <w:sz w:val="24"/>
              </w:rPr>
              <w:t>防火安全柜（一组）</w:t>
            </w:r>
          </w:p>
          <w:p>
            <w:pPr>
              <w:ind w:right="-250" w:rightChars="-119"/>
              <w:jc w:val="left"/>
              <w:rPr>
                <w:color w:val="auto"/>
                <w:sz w:val="24"/>
              </w:rPr>
            </w:pPr>
            <w:r>
              <w:rPr>
                <w:color w:val="auto"/>
                <w:sz w:val="24"/>
              </w:rPr>
              <w:t>2.3.1</w:t>
            </w:r>
            <w:r>
              <w:rPr>
                <w:rFonts w:hint="eastAsia"/>
                <w:color w:val="auto"/>
                <w:sz w:val="24"/>
              </w:rPr>
              <w:t>柜内设防火安全柜，外尺寸约</w:t>
            </w:r>
          </w:p>
          <w:p>
            <w:pPr>
              <w:ind w:right="-250" w:rightChars="-119"/>
              <w:jc w:val="left"/>
              <w:rPr>
                <w:color w:val="auto"/>
                <w:sz w:val="24"/>
              </w:rPr>
            </w:pPr>
            <w:r>
              <w:rPr>
                <w:color w:val="auto"/>
                <w:sz w:val="24"/>
              </w:rPr>
              <w:t>(</w:t>
            </w:r>
            <w:r>
              <w:rPr>
                <w:rFonts w:hint="eastAsia"/>
                <w:color w:val="auto"/>
                <w:sz w:val="24"/>
              </w:rPr>
              <w:t>长</w:t>
            </w:r>
            <w:r>
              <w:rPr>
                <w:color w:val="auto"/>
                <w:sz w:val="24"/>
              </w:rPr>
              <w:t>x</w:t>
            </w:r>
            <w:r>
              <w:rPr>
                <w:rFonts w:hint="eastAsia"/>
                <w:color w:val="auto"/>
                <w:sz w:val="24"/>
              </w:rPr>
              <w:t>宽</w:t>
            </w:r>
            <w:r>
              <w:rPr>
                <w:color w:val="auto"/>
                <w:sz w:val="24"/>
              </w:rPr>
              <w:t>x</w:t>
            </w:r>
            <w:r>
              <w:rPr>
                <w:rFonts w:hint="eastAsia"/>
                <w:color w:val="auto"/>
                <w:sz w:val="24"/>
              </w:rPr>
              <w:t>高</w:t>
            </w:r>
            <w:r>
              <w:rPr>
                <w:color w:val="auto"/>
                <w:sz w:val="24"/>
              </w:rPr>
              <w:t>) 1092mm x457mmx1651mm</w:t>
            </w:r>
            <w:r>
              <w:rPr>
                <w:rFonts w:hint="eastAsia"/>
                <w:color w:val="auto"/>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38" w:hRule="atLeast"/>
          <w:tblHeader/>
        </w:trPr>
        <w:tc>
          <w:tcPr>
            <w:tcW w:w="698" w:type="dxa"/>
            <w:vMerge w:val="restart"/>
            <w:shd w:val="clear" w:color="auto" w:fill="B8CCE4"/>
            <w:vAlign w:val="center"/>
          </w:tcPr>
          <w:p>
            <w:pPr>
              <w:pStyle w:val="129"/>
              <w:numPr>
                <w:ilvl w:val="0"/>
                <w:numId w:val="63"/>
              </w:numPr>
              <w:spacing w:line="360" w:lineRule="auto"/>
              <w:ind w:firstLineChars="0"/>
              <w:jc w:val="center"/>
              <w:rPr>
                <w:color w:val="auto"/>
              </w:rPr>
            </w:pPr>
          </w:p>
        </w:tc>
        <w:tc>
          <w:tcPr>
            <w:tcW w:w="1377" w:type="dxa"/>
            <w:vMerge w:val="restart"/>
            <w:vAlign w:val="center"/>
          </w:tcPr>
          <w:p>
            <w:pPr>
              <w:spacing w:line="360" w:lineRule="auto"/>
              <w:jc w:val="center"/>
              <w:rPr>
                <w:b/>
                <w:color w:val="auto"/>
                <w:sz w:val="24"/>
              </w:rPr>
            </w:pPr>
            <w:r>
              <w:rPr>
                <w:rFonts w:hint="eastAsia"/>
                <w:b/>
                <w:color w:val="auto"/>
                <w:sz w:val="24"/>
              </w:rPr>
              <w:t>智能控制系统</w:t>
            </w:r>
          </w:p>
        </w:tc>
        <w:tc>
          <w:tcPr>
            <w:tcW w:w="7905" w:type="dxa"/>
            <w:vAlign w:val="center"/>
          </w:tcPr>
          <w:p>
            <w:pPr>
              <w:widowControl/>
              <w:jc w:val="left"/>
              <w:rPr>
                <w:color w:val="auto"/>
                <w:sz w:val="24"/>
              </w:rPr>
            </w:pPr>
            <w:r>
              <w:rPr>
                <w:rFonts w:hint="eastAsia"/>
                <w:color w:val="auto"/>
                <w:sz w:val="24"/>
              </w:rPr>
              <w:t>★</w:t>
            </w:r>
            <w:r>
              <w:rPr>
                <w:color w:val="auto"/>
                <w:sz w:val="24"/>
              </w:rPr>
              <w:t>3.1</w:t>
            </w:r>
            <w:r>
              <w:rPr>
                <w:rFonts w:hint="eastAsia"/>
                <w:color w:val="auto"/>
                <w:sz w:val="24"/>
              </w:rPr>
              <w:t>控制系统采用可编程逻辑控制器</w:t>
            </w:r>
            <w:r>
              <w:rPr>
                <w:color w:val="auto"/>
                <w:sz w:val="24"/>
              </w:rPr>
              <w:t>(PLC)+≥10</w:t>
            </w:r>
            <w:r>
              <w:rPr>
                <w:rFonts w:hint="eastAsia"/>
                <w:color w:val="auto"/>
                <w:sz w:val="24"/>
              </w:rPr>
              <w:t>寸人机界面触摸屏</w:t>
            </w:r>
            <w:r>
              <w:rPr>
                <w:color w:val="auto"/>
                <w:sz w:val="24"/>
              </w:rPr>
              <w:t>+</w:t>
            </w:r>
            <w:r>
              <w:rPr>
                <w:rFonts w:hint="eastAsia"/>
                <w:color w:val="auto"/>
                <w:sz w:val="24"/>
              </w:rPr>
              <w:t>远程监控及操控</w:t>
            </w:r>
            <w:r>
              <w:rPr>
                <w:color w:val="auto"/>
                <w:sz w:val="24"/>
              </w:rPr>
              <w:t>+</w:t>
            </w:r>
            <w:r>
              <w:rPr>
                <w:rFonts w:hint="eastAsia"/>
                <w:color w:val="auto"/>
                <w:sz w:val="24"/>
              </w:rPr>
              <w:t>软件管理系统系统完成电气和仪表部分的自动控制与监控管理；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32" w:hRule="atLeast"/>
          <w:tblHeader/>
        </w:trPr>
        <w:tc>
          <w:tcPr>
            <w:tcW w:w="698" w:type="dxa"/>
            <w:vMerge w:val="continue"/>
            <w:shd w:val="clear" w:color="auto" w:fill="B8CCE4"/>
            <w:vAlign w:val="center"/>
          </w:tcPr>
          <w:p>
            <w:pPr>
              <w:pStyle w:val="129"/>
              <w:numPr>
                <w:ilvl w:val="0"/>
                <w:numId w:val="63"/>
              </w:numPr>
              <w:spacing w:line="360" w:lineRule="auto"/>
              <w:ind w:firstLineChars="0"/>
              <w:jc w:val="center"/>
              <w:rPr>
                <w:color w:val="auto"/>
              </w:rPr>
            </w:pPr>
          </w:p>
        </w:tc>
        <w:tc>
          <w:tcPr>
            <w:tcW w:w="1377" w:type="dxa"/>
            <w:vMerge w:val="continue"/>
            <w:vAlign w:val="center"/>
          </w:tcPr>
          <w:p>
            <w:pPr>
              <w:spacing w:line="360" w:lineRule="auto"/>
              <w:jc w:val="center"/>
              <w:rPr>
                <w:b/>
                <w:color w:val="auto"/>
                <w:sz w:val="24"/>
              </w:rPr>
            </w:pPr>
          </w:p>
        </w:tc>
        <w:tc>
          <w:tcPr>
            <w:tcW w:w="7905" w:type="dxa"/>
            <w:vAlign w:val="center"/>
          </w:tcPr>
          <w:p>
            <w:pPr>
              <w:widowControl/>
              <w:jc w:val="left"/>
              <w:rPr>
                <w:color w:val="auto"/>
                <w:sz w:val="24"/>
              </w:rPr>
            </w:pPr>
            <w:r>
              <w:rPr>
                <w:rFonts w:hint="eastAsia"/>
                <w:color w:val="auto"/>
                <w:sz w:val="24"/>
              </w:rPr>
              <w:t>★</w:t>
            </w:r>
            <w:r>
              <w:rPr>
                <w:color w:val="auto"/>
                <w:sz w:val="24"/>
              </w:rPr>
              <w:t>3</w:t>
            </w:r>
            <w:r>
              <w:rPr>
                <w:rFonts w:ascii="宋体"/>
                <w:color w:val="auto"/>
                <w:sz w:val="24"/>
              </w:rPr>
              <w:t>.</w:t>
            </w:r>
            <w:r>
              <w:rPr>
                <w:rFonts w:cs="Calibri"/>
                <w:color w:val="auto"/>
                <w:sz w:val="24"/>
              </w:rPr>
              <w:t>2</w:t>
            </w:r>
            <w:r>
              <w:rPr>
                <w:rFonts w:hint="eastAsia" w:ascii="宋体" w:hAnsi="宋体"/>
                <w:color w:val="auto"/>
                <w:sz w:val="24"/>
              </w:rPr>
              <w:t>智能控制系统具有云端后台管理功能，随时监测、控制实验室废弃物暂存柜的废气处理、喷淋降温、照明、预警报警、温度控制等功能。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85" w:hRule="atLeast"/>
          <w:tblHeader/>
        </w:trPr>
        <w:tc>
          <w:tcPr>
            <w:tcW w:w="698" w:type="dxa"/>
            <w:vMerge w:val="continue"/>
            <w:shd w:val="clear" w:color="auto" w:fill="B8CCE4"/>
            <w:vAlign w:val="center"/>
          </w:tcPr>
          <w:p>
            <w:pPr>
              <w:pStyle w:val="129"/>
              <w:numPr>
                <w:ilvl w:val="0"/>
                <w:numId w:val="63"/>
              </w:numPr>
              <w:spacing w:line="360" w:lineRule="auto"/>
              <w:ind w:firstLineChars="0"/>
              <w:jc w:val="center"/>
              <w:rPr>
                <w:color w:val="auto"/>
              </w:rPr>
            </w:pPr>
          </w:p>
        </w:tc>
        <w:tc>
          <w:tcPr>
            <w:tcW w:w="1377" w:type="dxa"/>
            <w:vMerge w:val="continue"/>
            <w:vAlign w:val="center"/>
          </w:tcPr>
          <w:p>
            <w:pPr>
              <w:spacing w:line="360" w:lineRule="auto"/>
              <w:jc w:val="center"/>
              <w:rPr>
                <w:b/>
                <w:color w:val="auto"/>
                <w:sz w:val="24"/>
              </w:rPr>
            </w:pPr>
          </w:p>
        </w:tc>
        <w:tc>
          <w:tcPr>
            <w:tcW w:w="7905" w:type="dxa"/>
            <w:vAlign w:val="center"/>
          </w:tcPr>
          <w:p>
            <w:pPr>
              <w:jc w:val="left"/>
              <w:rPr>
                <w:color w:val="auto"/>
                <w:sz w:val="24"/>
              </w:rPr>
            </w:pPr>
            <w:r>
              <w:rPr>
                <w:color w:val="auto"/>
                <w:sz w:val="24"/>
              </w:rPr>
              <w:t>3.3</w:t>
            </w:r>
            <w:r>
              <w:rPr>
                <w:rFonts w:hint="eastAsia"/>
                <w:color w:val="auto"/>
                <w:sz w:val="24"/>
              </w:rPr>
              <w:t>暂存柜系统软件集中控制系统由</w:t>
            </w:r>
            <w:r>
              <w:rPr>
                <w:color w:val="auto"/>
                <w:sz w:val="24"/>
              </w:rPr>
              <w:t>≥10</w:t>
            </w:r>
            <w:r>
              <w:rPr>
                <w:rFonts w:hint="eastAsia"/>
                <w:color w:val="auto"/>
                <w:sz w:val="24"/>
              </w:rPr>
              <w:t>寸人机界面液晶中文显示，可设置进入密码；系统具有人机对话功能，自动实时检测各传感器参数，实时显示室外温度、室内温度、电控柜温度、可燃气体浓度、相对湿度、空调状态、喷淋状态、排风速率、废气系统运行状态、警报状态、门禁照明等各项参数，以上参数均须在人机界面触摸屏上显示，不允许通过分体显示仪显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851" w:hRule="atLeast"/>
          <w:tblHeader/>
        </w:trPr>
        <w:tc>
          <w:tcPr>
            <w:tcW w:w="698" w:type="dxa"/>
            <w:vMerge w:val="continue"/>
            <w:shd w:val="clear" w:color="auto" w:fill="B8CCE4"/>
            <w:vAlign w:val="center"/>
          </w:tcPr>
          <w:p>
            <w:pPr>
              <w:pStyle w:val="129"/>
              <w:numPr>
                <w:ilvl w:val="0"/>
                <w:numId w:val="63"/>
              </w:numPr>
              <w:spacing w:line="360" w:lineRule="auto"/>
              <w:ind w:firstLineChars="0"/>
              <w:jc w:val="center"/>
              <w:rPr>
                <w:color w:val="auto"/>
              </w:rPr>
            </w:pPr>
          </w:p>
        </w:tc>
        <w:tc>
          <w:tcPr>
            <w:tcW w:w="1377" w:type="dxa"/>
            <w:vMerge w:val="continue"/>
            <w:vAlign w:val="center"/>
          </w:tcPr>
          <w:p>
            <w:pPr>
              <w:spacing w:line="360" w:lineRule="auto"/>
              <w:jc w:val="center"/>
              <w:rPr>
                <w:b/>
                <w:color w:val="auto"/>
                <w:sz w:val="24"/>
              </w:rPr>
            </w:pPr>
          </w:p>
        </w:tc>
        <w:tc>
          <w:tcPr>
            <w:tcW w:w="7905" w:type="dxa"/>
            <w:vAlign w:val="center"/>
          </w:tcPr>
          <w:p>
            <w:pPr>
              <w:widowControl/>
              <w:jc w:val="left"/>
              <w:rPr>
                <w:color w:val="auto"/>
                <w:sz w:val="24"/>
              </w:rPr>
            </w:pPr>
            <w:r>
              <w:rPr>
                <w:color w:val="auto"/>
                <w:sz w:val="24"/>
              </w:rPr>
              <w:t>3.4</w:t>
            </w:r>
            <w:r>
              <w:rPr>
                <w:rFonts w:hint="eastAsia"/>
                <w:color w:val="auto"/>
                <w:sz w:val="24"/>
              </w:rPr>
              <w:t>当柜内气体浓度接近安全临界值</w:t>
            </w:r>
            <w:r>
              <w:rPr>
                <w:color w:val="auto"/>
                <w:sz w:val="24"/>
              </w:rPr>
              <w:t>20%-30%</w:t>
            </w:r>
            <w:r>
              <w:rPr>
                <w:rFonts w:hint="eastAsia"/>
                <w:color w:val="auto"/>
                <w:sz w:val="24"/>
              </w:rPr>
              <w:t>时，控制系统将智能执行各类处置措施。当设置的参数接近安全临界值</w:t>
            </w:r>
            <w:r>
              <w:rPr>
                <w:color w:val="auto"/>
                <w:sz w:val="24"/>
              </w:rPr>
              <w:t>10%-20%</w:t>
            </w:r>
            <w:r>
              <w:rPr>
                <w:rFonts w:hint="eastAsia"/>
                <w:color w:val="auto"/>
                <w:sz w:val="24"/>
              </w:rPr>
              <w:t>时或在可能发生危险的情况下控制系统会启动声光报警，报警音在</w:t>
            </w:r>
            <w:r>
              <w:rPr>
                <w:color w:val="auto"/>
                <w:sz w:val="24"/>
              </w:rPr>
              <w:t>85</w:t>
            </w:r>
            <w:r>
              <w:rPr>
                <w:rFonts w:hint="eastAsia"/>
                <w:color w:val="auto"/>
                <w:sz w:val="24"/>
              </w:rPr>
              <w:t>分贝以上，能提供远距离预警，同时通过云控制平台给用户发警示短信或者打警示电话；</w:t>
            </w:r>
          </w:p>
          <w:p>
            <w:pPr>
              <w:jc w:val="left"/>
              <w:rPr>
                <w:color w:val="auto"/>
                <w:sz w:val="24"/>
              </w:rPr>
            </w:pPr>
            <w:r>
              <w:rPr>
                <w:rFonts w:hint="eastAsia"/>
                <w:color w:val="auto"/>
                <w:sz w:val="24"/>
              </w:rPr>
              <w:t>当柜内温度当室温度超过或低于设定的安全温度值（</w:t>
            </w:r>
            <w:r>
              <w:rPr>
                <w:color w:val="auto"/>
                <w:sz w:val="24"/>
              </w:rPr>
              <w:t>3-28</w:t>
            </w:r>
            <w:r>
              <w:rPr>
                <w:rFonts w:hint="eastAsia"/>
                <w:color w:val="auto"/>
                <w:sz w:val="24"/>
              </w:rPr>
              <w:t>℃）时防爆空调将自动开启，超过</w:t>
            </w:r>
            <w:r>
              <w:rPr>
                <w:color w:val="auto"/>
                <w:sz w:val="24"/>
              </w:rPr>
              <w:t>28</w:t>
            </w:r>
            <w:r>
              <w:rPr>
                <w:rFonts w:hint="eastAsia"/>
                <w:color w:val="auto"/>
                <w:sz w:val="24"/>
              </w:rPr>
              <w:t>℃时，系统将自动启动声光报警灯，同时通过云控制平台给用户发警示短信或者打警示电话；用户可选择手动开启喷淋降温系统；若遇极端状态下（温度超过</w:t>
            </w:r>
            <w:r>
              <w:rPr>
                <w:color w:val="auto"/>
                <w:sz w:val="24"/>
              </w:rPr>
              <w:t>58</w:t>
            </w:r>
            <w:r>
              <w:rPr>
                <w:rFonts w:hint="eastAsia"/>
                <w:color w:val="auto"/>
                <w:sz w:val="24"/>
              </w:rPr>
              <w:t>℃）时，系统将自动开启喷淋降温系统。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19" w:hRule="atLeast"/>
          <w:tblHeader/>
        </w:trPr>
        <w:tc>
          <w:tcPr>
            <w:tcW w:w="698" w:type="dxa"/>
            <w:vMerge w:val="continue"/>
            <w:shd w:val="clear" w:color="auto" w:fill="B8CCE4"/>
            <w:vAlign w:val="center"/>
          </w:tcPr>
          <w:p>
            <w:pPr>
              <w:pStyle w:val="129"/>
              <w:numPr>
                <w:ilvl w:val="0"/>
                <w:numId w:val="63"/>
              </w:numPr>
              <w:spacing w:line="360" w:lineRule="auto"/>
              <w:ind w:firstLineChars="0"/>
              <w:jc w:val="center"/>
              <w:rPr>
                <w:color w:val="auto"/>
              </w:rPr>
            </w:pPr>
          </w:p>
        </w:tc>
        <w:tc>
          <w:tcPr>
            <w:tcW w:w="1377" w:type="dxa"/>
            <w:vMerge w:val="continue"/>
            <w:vAlign w:val="center"/>
          </w:tcPr>
          <w:p>
            <w:pPr>
              <w:spacing w:line="360" w:lineRule="auto"/>
              <w:jc w:val="center"/>
              <w:rPr>
                <w:b/>
                <w:color w:val="auto"/>
                <w:sz w:val="24"/>
              </w:rPr>
            </w:pPr>
          </w:p>
        </w:tc>
        <w:tc>
          <w:tcPr>
            <w:tcW w:w="7905" w:type="dxa"/>
            <w:vAlign w:val="center"/>
          </w:tcPr>
          <w:p>
            <w:pPr>
              <w:widowControl/>
              <w:jc w:val="left"/>
              <w:rPr>
                <w:color w:val="auto"/>
                <w:sz w:val="24"/>
              </w:rPr>
            </w:pPr>
            <w:r>
              <w:rPr>
                <w:color w:val="auto"/>
                <w:sz w:val="24"/>
              </w:rPr>
              <w:t>3.5</w:t>
            </w:r>
            <w:r>
              <w:rPr>
                <w:rFonts w:hint="eastAsia"/>
                <w:color w:val="auto"/>
                <w:sz w:val="24"/>
              </w:rPr>
              <w:t>控制系统在应急情况下可使用实体键进入应急模式，控制照明、排风、废气净化、喷淋、空调等基本功能；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79" w:hRule="atLeast"/>
          <w:tblHeader/>
        </w:trPr>
        <w:tc>
          <w:tcPr>
            <w:tcW w:w="698" w:type="dxa"/>
            <w:vMerge w:val="continue"/>
            <w:shd w:val="clear" w:color="auto" w:fill="B8CCE4"/>
            <w:vAlign w:val="center"/>
          </w:tcPr>
          <w:p>
            <w:pPr>
              <w:pStyle w:val="129"/>
              <w:numPr>
                <w:ilvl w:val="0"/>
                <w:numId w:val="63"/>
              </w:numPr>
              <w:spacing w:line="360" w:lineRule="auto"/>
              <w:ind w:firstLineChars="0"/>
              <w:jc w:val="center"/>
              <w:rPr>
                <w:color w:val="auto"/>
              </w:rPr>
            </w:pPr>
          </w:p>
        </w:tc>
        <w:tc>
          <w:tcPr>
            <w:tcW w:w="1377" w:type="dxa"/>
            <w:vMerge w:val="continue"/>
            <w:vAlign w:val="center"/>
          </w:tcPr>
          <w:p>
            <w:pPr>
              <w:spacing w:line="360" w:lineRule="auto"/>
              <w:jc w:val="center"/>
              <w:rPr>
                <w:b/>
                <w:color w:val="auto"/>
                <w:sz w:val="24"/>
              </w:rPr>
            </w:pPr>
          </w:p>
        </w:tc>
        <w:tc>
          <w:tcPr>
            <w:tcW w:w="7905" w:type="dxa"/>
            <w:vAlign w:val="center"/>
          </w:tcPr>
          <w:p>
            <w:pPr>
              <w:widowControl/>
              <w:jc w:val="left"/>
              <w:rPr>
                <w:b/>
                <w:color w:val="auto"/>
                <w:sz w:val="24"/>
              </w:rPr>
            </w:pPr>
            <w:r>
              <w:rPr>
                <w:color w:val="auto"/>
                <w:sz w:val="24"/>
              </w:rPr>
              <w:t>3.6</w:t>
            </w:r>
            <w:r>
              <w:rPr>
                <w:rFonts w:hint="eastAsia"/>
                <w:color w:val="auto"/>
                <w:sz w:val="24"/>
              </w:rPr>
              <w:t>智能控制系统具有云端后台管理功能，可连接至我公司云端后台管理系统后，客户和我公司售后服务人员均可通过云端后台管理系统随时监测、控制暂存柜系统的废气处理、喷淋降温、照明、预警报警、温度控制等功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5" w:hRule="atLeast"/>
          <w:tblHeader/>
        </w:trPr>
        <w:tc>
          <w:tcPr>
            <w:tcW w:w="698" w:type="dxa"/>
            <w:vMerge w:val="continue"/>
            <w:shd w:val="clear" w:color="auto" w:fill="B8CCE4"/>
            <w:vAlign w:val="center"/>
          </w:tcPr>
          <w:p>
            <w:pPr>
              <w:pStyle w:val="129"/>
              <w:numPr>
                <w:ilvl w:val="0"/>
                <w:numId w:val="63"/>
              </w:numPr>
              <w:spacing w:line="360" w:lineRule="auto"/>
              <w:ind w:firstLineChars="0"/>
              <w:jc w:val="center"/>
              <w:rPr>
                <w:color w:val="auto"/>
              </w:rPr>
            </w:pPr>
          </w:p>
        </w:tc>
        <w:tc>
          <w:tcPr>
            <w:tcW w:w="1377" w:type="dxa"/>
            <w:vMerge w:val="continue"/>
            <w:vAlign w:val="center"/>
          </w:tcPr>
          <w:p>
            <w:pPr>
              <w:spacing w:line="360" w:lineRule="auto"/>
              <w:jc w:val="center"/>
              <w:rPr>
                <w:b/>
                <w:color w:val="auto"/>
                <w:sz w:val="24"/>
              </w:rPr>
            </w:pPr>
          </w:p>
        </w:tc>
        <w:tc>
          <w:tcPr>
            <w:tcW w:w="7905" w:type="dxa"/>
            <w:vAlign w:val="center"/>
          </w:tcPr>
          <w:p>
            <w:pPr>
              <w:widowControl/>
              <w:jc w:val="left"/>
              <w:rPr>
                <w:color w:val="auto"/>
                <w:sz w:val="24"/>
              </w:rPr>
            </w:pPr>
            <w:r>
              <w:rPr>
                <w:color w:val="auto"/>
                <w:sz w:val="24"/>
              </w:rPr>
              <w:t>3.7</w:t>
            </w:r>
            <w:r>
              <w:rPr>
                <w:rFonts w:hint="eastAsia"/>
                <w:color w:val="auto"/>
                <w:sz w:val="24"/>
              </w:rPr>
              <w:t>暂存柜出入门采用危化品管控智能安全锁，采用</w:t>
            </w:r>
            <w:r>
              <w:rPr>
                <w:color w:val="auto"/>
                <w:sz w:val="24"/>
              </w:rPr>
              <w:t>RFID</w:t>
            </w:r>
            <w:r>
              <w:rPr>
                <w:rFonts w:hint="eastAsia"/>
                <w:color w:val="auto"/>
                <w:sz w:val="24"/>
              </w:rPr>
              <w:t>智能卡技术，具有生物活体指纹开锁、密码开锁、应急钥匙等功能；智能安全锁外尺寸：宽</w:t>
            </w:r>
            <w:r>
              <w:rPr>
                <w:color w:val="auto"/>
                <w:sz w:val="24"/>
              </w:rPr>
              <w:t xml:space="preserve">75mmX </w:t>
            </w:r>
            <w:r>
              <w:rPr>
                <w:rFonts w:hint="eastAsia"/>
                <w:color w:val="auto"/>
                <w:sz w:val="24"/>
              </w:rPr>
              <w:t>高</w:t>
            </w:r>
            <w:r>
              <w:rPr>
                <w:color w:val="auto"/>
                <w:sz w:val="24"/>
              </w:rPr>
              <w:t>350mm</w:t>
            </w:r>
            <w:r>
              <w:rPr>
                <w:rFonts w:hint="eastAsia"/>
                <w:color w:val="auto"/>
                <w:sz w:val="24"/>
              </w:rPr>
              <w:t>，操作区尺寸：宽</w:t>
            </w:r>
            <w:r>
              <w:rPr>
                <w:color w:val="auto"/>
                <w:sz w:val="24"/>
              </w:rPr>
              <w:t xml:space="preserve">75mmX </w:t>
            </w:r>
            <w:r>
              <w:rPr>
                <w:rFonts w:hint="eastAsia"/>
                <w:color w:val="auto"/>
                <w:sz w:val="24"/>
              </w:rPr>
              <w:t>高</w:t>
            </w:r>
            <w:r>
              <w:rPr>
                <w:color w:val="auto"/>
                <w:sz w:val="24"/>
              </w:rPr>
              <w:t>135mm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9" w:hRule="atLeast"/>
          <w:tblHeader/>
        </w:trPr>
        <w:tc>
          <w:tcPr>
            <w:tcW w:w="698" w:type="dxa"/>
            <w:vMerge w:val="continue"/>
            <w:shd w:val="clear" w:color="auto" w:fill="B8CCE4"/>
            <w:vAlign w:val="center"/>
          </w:tcPr>
          <w:p>
            <w:pPr>
              <w:pStyle w:val="129"/>
              <w:numPr>
                <w:ilvl w:val="0"/>
                <w:numId w:val="63"/>
              </w:numPr>
              <w:spacing w:line="360" w:lineRule="auto"/>
              <w:ind w:firstLineChars="0"/>
              <w:jc w:val="center"/>
              <w:rPr>
                <w:color w:val="auto"/>
              </w:rPr>
            </w:pPr>
          </w:p>
        </w:tc>
        <w:tc>
          <w:tcPr>
            <w:tcW w:w="1377" w:type="dxa"/>
            <w:vMerge w:val="continue"/>
            <w:vAlign w:val="center"/>
          </w:tcPr>
          <w:p>
            <w:pPr>
              <w:spacing w:line="360" w:lineRule="auto"/>
              <w:jc w:val="center"/>
              <w:rPr>
                <w:b/>
                <w:color w:val="auto"/>
                <w:sz w:val="24"/>
              </w:rPr>
            </w:pPr>
          </w:p>
        </w:tc>
        <w:tc>
          <w:tcPr>
            <w:tcW w:w="7905" w:type="dxa"/>
            <w:vAlign w:val="center"/>
          </w:tcPr>
          <w:p>
            <w:pPr>
              <w:adjustRightInd w:val="0"/>
              <w:textAlignment w:val="baseline"/>
              <w:rPr>
                <w:color w:val="auto"/>
                <w:sz w:val="24"/>
              </w:rPr>
            </w:pPr>
            <w:r>
              <w:rPr>
                <w:color w:val="auto"/>
                <w:sz w:val="24"/>
              </w:rPr>
              <w:t>3.8</w:t>
            </w:r>
            <w:r>
              <w:rPr>
                <w:rFonts w:hint="eastAsia"/>
                <w:color w:val="auto"/>
                <w:sz w:val="24"/>
              </w:rPr>
              <w:t>正面强电箱、弱电箱、个人防护箱、清洁用品箱安装具有密码开锁和刷卡开锁功能的功能锁；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00" w:hRule="atLeast"/>
          <w:tblHeader/>
        </w:trPr>
        <w:tc>
          <w:tcPr>
            <w:tcW w:w="698" w:type="dxa"/>
            <w:vMerge w:val="continue"/>
            <w:shd w:val="clear" w:color="auto" w:fill="B8CCE4"/>
            <w:vAlign w:val="center"/>
          </w:tcPr>
          <w:p>
            <w:pPr>
              <w:pStyle w:val="129"/>
              <w:numPr>
                <w:ilvl w:val="0"/>
                <w:numId w:val="63"/>
              </w:numPr>
              <w:spacing w:line="360" w:lineRule="auto"/>
              <w:ind w:firstLineChars="0"/>
              <w:jc w:val="center"/>
              <w:rPr>
                <w:color w:val="auto"/>
              </w:rPr>
            </w:pPr>
          </w:p>
        </w:tc>
        <w:tc>
          <w:tcPr>
            <w:tcW w:w="1377" w:type="dxa"/>
            <w:vMerge w:val="continue"/>
            <w:vAlign w:val="center"/>
          </w:tcPr>
          <w:p>
            <w:pPr>
              <w:spacing w:line="360" w:lineRule="auto"/>
              <w:jc w:val="center"/>
              <w:rPr>
                <w:b/>
                <w:color w:val="auto"/>
                <w:sz w:val="24"/>
              </w:rPr>
            </w:pPr>
          </w:p>
        </w:tc>
        <w:tc>
          <w:tcPr>
            <w:tcW w:w="7905" w:type="dxa"/>
            <w:vAlign w:val="center"/>
          </w:tcPr>
          <w:p>
            <w:pPr>
              <w:widowControl/>
              <w:jc w:val="left"/>
              <w:rPr>
                <w:rFonts w:ascii="宋体" w:cs="宋体"/>
                <w:b/>
                <w:bCs/>
                <w:color w:val="auto"/>
                <w:sz w:val="24"/>
                <w:shd w:val="clear" w:color="auto" w:fill="FFFFFF"/>
              </w:rPr>
            </w:pPr>
            <w:r>
              <w:rPr>
                <w:rFonts w:hint="eastAsia"/>
                <w:color w:val="auto"/>
                <w:sz w:val="24"/>
              </w:rPr>
              <w:t>具备实验室废弃物暂存柜管理系统软件著作权等级证书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85" w:hRule="atLeast"/>
          <w:tblHeader/>
        </w:trPr>
        <w:tc>
          <w:tcPr>
            <w:tcW w:w="698" w:type="dxa"/>
            <w:vMerge w:val="restart"/>
            <w:shd w:val="clear" w:color="auto" w:fill="B8CCE4"/>
            <w:vAlign w:val="center"/>
          </w:tcPr>
          <w:p>
            <w:pPr>
              <w:pStyle w:val="129"/>
              <w:numPr>
                <w:ilvl w:val="0"/>
                <w:numId w:val="63"/>
              </w:numPr>
              <w:spacing w:line="360" w:lineRule="auto"/>
              <w:ind w:firstLineChars="0"/>
              <w:jc w:val="center"/>
              <w:rPr>
                <w:color w:val="auto"/>
              </w:rPr>
            </w:pPr>
          </w:p>
        </w:tc>
        <w:tc>
          <w:tcPr>
            <w:tcW w:w="1377" w:type="dxa"/>
            <w:vMerge w:val="restart"/>
            <w:vAlign w:val="center"/>
          </w:tcPr>
          <w:p>
            <w:pPr>
              <w:spacing w:line="360" w:lineRule="auto"/>
              <w:jc w:val="center"/>
              <w:rPr>
                <w:b/>
                <w:color w:val="auto"/>
                <w:sz w:val="24"/>
              </w:rPr>
            </w:pPr>
            <w:r>
              <w:rPr>
                <w:rFonts w:hint="eastAsia"/>
                <w:b/>
                <w:color w:val="auto"/>
                <w:sz w:val="24"/>
              </w:rPr>
              <w:t>通风排气系统</w:t>
            </w:r>
          </w:p>
        </w:tc>
        <w:tc>
          <w:tcPr>
            <w:tcW w:w="7905" w:type="dxa"/>
            <w:vAlign w:val="center"/>
          </w:tcPr>
          <w:p>
            <w:pPr>
              <w:rPr>
                <w:rFonts w:ascii="宋体"/>
                <w:color w:val="auto"/>
                <w:sz w:val="24"/>
              </w:rPr>
            </w:pPr>
            <w:r>
              <w:rPr>
                <w:color w:val="auto"/>
                <w:sz w:val="24"/>
              </w:rPr>
              <w:t>4.1</w:t>
            </w:r>
            <w:r>
              <w:rPr>
                <w:rFonts w:hint="eastAsia" w:ascii="宋体" w:hAnsi="宋体"/>
                <w:color w:val="auto"/>
                <w:sz w:val="24"/>
              </w:rPr>
              <w:t>柜内顶部安装通风管，管路上采用防火止回阀，柜内设置通风百叶窗，百叶窗内部设有防虫鼠网，通风口具高温自闭装置，通风装置的材料为不可燃或阻燃材质。</w:t>
            </w:r>
          </w:p>
          <w:p>
            <w:pPr>
              <w:rPr>
                <w:color w:val="auto"/>
                <w:sz w:val="24"/>
              </w:rPr>
            </w:pPr>
            <w:r>
              <w:rPr>
                <w:color w:val="auto"/>
                <w:sz w:val="24"/>
              </w:rPr>
              <w:t>4.2</w:t>
            </w:r>
            <w:r>
              <w:rPr>
                <w:rFonts w:hint="eastAsia"/>
                <w:color w:val="auto"/>
                <w:sz w:val="24"/>
              </w:rPr>
              <w:t>柜体两侧共设置</w:t>
            </w:r>
            <w:r>
              <w:rPr>
                <w:color w:val="auto"/>
                <w:sz w:val="24"/>
              </w:rPr>
              <w:t>6</w:t>
            </w:r>
            <w:r>
              <w:rPr>
                <w:rFonts w:hint="eastAsia"/>
                <w:color w:val="auto"/>
                <w:sz w:val="24"/>
              </w:rPr>
              <w:t>个通风百叶窗，每个百叶窗均可从柜体外部拆卸用于清洗空气净化装置，内部设有防虫鼠、防沙尘网，通风口具高温自闭装置，通风装置的材料为不可燃或阻燃材质。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19" w:hRule="atLeast"/>
          <w:tblHeader/>
        </w:trPr>
        <w:tc>
          <w:tcPr>
            <w:tcW w:w="698" w:type="dxa"/>
            <w:vMerge w:val="continue"/>
            <w:shd w:val="clear" w:color="auto" w:fill="B8CCE4"/>
            <w:vAlign w:val="center"/>
          </w:tcPr>
          <w:p>
            <w:pPr>
              <w:pStyle w:val="129"/>
              <w:numPr>
                <w:ilvl w:val="0"/>
                <w:numId w:val="63"/>
              </w:numPr>
              <w:spacing w:line="360" w:lineRule="auto"/>
              <w:ind w:firstLineChars="0"/>
              <w:jc w:val="center"/>
              <w:rPr>
                <w:color w:val="auto"/>
              </w:rPr>
            </w:pPr>
          </w:p>
        </w:tc>
        <w:tc>
          <w:tcPr>
            <w:tcW w:w="1377" w:type="dxa"/>
            <w:vMerge w:val="continue"/>
            <w:vAlign w:val="center"/>
          </w:tcPr>
          <w:p>
            <w:pPr>
              <w:spacing w:line="360" w:lineRule="auto"/>
              <w:jc w:val="center"/>
              <w:rPr>
                <w:b/>
                <w:color w:val="auto"/>
                <w:sz w:val="24"/>
              </w:rPr>
            </w:pPr>
          </w:p>
        </w:tc>
        <w:tc>
          <w:tcPr>
            <w:tcW w:w="7905" w:type="dxa"/>
            <w:vAlign w:val="center"/>
          </w:tcPr>
          <w:p>
            <w:pPr>
              <w:jc w:val="left"/>
              <w:rPr>
                <w:color w:val="auto"/>
                <w:sz w:val="24"/>
              </w:rPr>
            </w:pPr>
            <w:r>
              <w:rPr>
                <w:color w:val="auto"/>
                <w:sz w:val="24"/>
              </w:rPr>
              <w:t>4.2</w:t>
            </w:r>
            <w:r>
              <w:rPr>
                <w:rFonts w:hint="eastAsia"/>
                <w:color w:val="auto"/>
                <w:sz w:val="24"/>
              </w:rPr>
              <w:t>顶部设置</w:t>
            </w:r>
            <w:r>
              <w:rPr>
                <w:color w:val="auto"/>
                <w:sz w:val="24"/>
              </w:rPr>
              <w:t>3</w:t>
            </w:r>
            <w:r>
              <w:rPr>
                <w:rFonts w:hint="eastAsia"/>
                <w:color w:val="auto"/>
                <w:sz w:val="24"/>
              </w:rPr>
              <w:t>个无动力风机，用于自动微排风。在停电环境下可保持通风；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2" w:hRule="atLeast"/>
          <w:tblHeader/>
        </w:trPr>
        <w:tc>
          <w:tcPr>
            <w:tcW w:w="698" w:type="dxa"/>
            <w:vMerge w:val="continue"/>
            <w:shd w:val="clear" w:color="auto" w:fill="B8CCE4"/>
            <w:vAlign w:val="center"/>
          </w:tcPr>
          <w:p>
            <w:pPr>
              <w:pStyle w:val="129"/>
              <w:numPr>
                <w:ilvl w:val="0"/>
                <w:numId w:val="63"/>
              </w:numPr>
              <w:spacing w:line="360" w:lineRule="auto"/>
              <w:ind w:firstLineChars="0"/>
              <w:jc w:val="center"/>
              <w:rPr>
                <w:color w:val="auto"/>
              </w:rPr>
            </w:pPr>
          </w:p>
        </w:tc>
        <w:tc>
          <w:tcPr>
            <w:tcW w:w="1377" w:type="dxa"/>
            <w:vMerge w:val="continue"/>
            <w:vAlign w:val="center"/>
          </w:tcPr>
          <w:p>
            <w:pPr>
              <w:spacing w:line="360" w:lineRule="auto"/>
              <w:jc w:val="center"/>
              <w:rPr>
                <w:b/>
                <w:color w:val="auto"/>
                <w:sz w:val="24"/>
              </w:rPr>
            </w:pPr>
          </w:p>
        </w:tc>
        <w:tc>
          <w:tcPr>
            <w:tcW w:w="7905" w:type="dxa"/>
            <w:vAlign w:val="center"/>
          </w:tcPr>
          <w:p>
            <w:pPr>
              <w:jc w:val="left"/>
              <w:rPr>
                <w:color w:val="auto"/>
                <w:sz w:val="24"/>
              </w:rPr>
            </w:pPr>
            <w:r>
              <w:rPr>
                <w:color w:val="auto"/>
                <w:sz w:val="24"/>
              </w:rPr>
              <w:t>4.3</w:t>
            </w:r>
            <w:r>
              <w:rPr>
                <w:rFonts w:hint="eastAsia"/>
                <w:color w:val="auto"/>
                <w:sz w:val="24"/>
              </w:rPr>
              <w:t>配置强制排风系统，强制排风系统使用防腐离心风机，使用环境温度：</w:t>
            </w:r>
            <w:r>
              <w:rPr>
                <w:color w:val="auto"/>
                <w:sz w:val="24"/>
              </w:rPr>
              <w:t>-15</w:t>
            </w:r>
            <w:r>
              <w:rPr>
                <w:rFonts w:hint="eastAsia"/>
                <w:color w:val="auto"/>
                <w:sz w:val="24"/>
              </w:rPr>
              <w:t>℃</w:t>
            </w:r>
            <w:r>
              <w:rPr>
                <w:color w:val="auto"/>
                <w:sz w:val="24"/>
              </w:rPr>
              <w:t>——45</w:t>
            </w:r>
            <w:r>
              <w:rPr>
                <w:rFonts w:hint="eastAsia"/>
                <w:color w:val="auto"/>
                <w:sz w:val="24"/>
              </w:rPr>
              <w:t>℃，机壳采用优质</w:t>
            </w:r>
            <w:r>
              <w:rPr>
                <w:color w:val="auto"/>
                <w:sz w:val="24"/>
              </w:rPr>
              <w:t>PP</w:t>
            </w:r>
            <w:r>
              <w:rPr>
                <w:rFonts w:hint="eastAsia"/>
                <w:color w:val="auto"/>
                <w:sz w:val="24"/>
              </w:rPr>
              <w:t>板材制作，电机功率</w:t>
            </w:r>
            <w:r>
              <w:rPr>
                <w:color w:val="auto"/>
                <w:sz w:val="24"/>
              </w:rPr>
              <w:t>2.2KW</w:t>
            </w:r>
            <w:r>
              <w:rPr>
                <w:rFonts w:hint="eastAsia"/>
                <w:color w:val="auto"/>
                <w:sz w:val="24"/>
              </w:rPr>
              <w:t>，噪音≤</w:t>
            </w:r>
            <w:r>
              <w:rPr>
                <w:color w:val="auto"/>
                <w:sz w:val="24"/>
              </w:rPr>
              <w:t>85dB</w:t>
            </w:r>
            <w:r>
              <w:rPr>
                <w:rFonts w:hint="eastAsia"/>
                <w:color w:val="auto"/>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5" w:hRule="atLeast"/>
          <w:tblHeader/>
        </w:trPr>
        <w:tc>
          <w:tcPr>
            <w:tcW w:w="698" w:type="dxa"/>
            <w:vMerge w:val="continue"/>
            <w:shd w:val="clear" w:color="auto" w:fill="B8CCE4"/>
            <w:vAlign w:val="center"/>
          </w:tcPr>
          <w:p>
            <w:pPr>
              <w:pStyle w:val="129"/>
              <w:numPr>
                <w:ilvl w:val="0"/>
                <w:numId w:val="63"/>
              </w:numPr>
              <w:spacing w:line="360" w:lineRule="auto"/>
              <w:ind w:firstLineChars="0"/>
              <w:jc w:val="center"/>
              <w:rPr>
                <w:color w:val="auto"/>
              </w:rPr>
            </w:pPr>
          </w:p>
        </w:tc>
        <w:tc>
          <w:tcPr>
            <w:tcW w:w="1377" w:type="dxa"/>
            <w:vMerge w:val="continue"/>
            <w:vAlign w:val="center"/>
          </w:tcPr>
          <w:p>
            <w:pPr>
              <w:spacing w:line="360" w:lineRule="auto"/>
              <w:jc w:val="center"/>
              <w:rPr>
                <w:b/>
                <w:color w:val="auto"/>
                <w:sz w:val="24"/>
              </w:rPr>
            </w:pPr>
          </w:p>
        </w:tc>
        <w:tc>
          <w:tcPr>
            <w:tcW w:w="7905" w:type="dxa"/>
            <w:vAlign w:val="center"/>
          </w:tcPr>
          <w:p>
            <w:pPr>
              <w:jc w:val="left"/>
              <w:rPr>
                <w:color w:val="auto"/>
                <w:sz w:val="24"/>
              </w:rPr>
            </w:pPr>
            <w:r>
              <w:rPr>
                <w:color w:val="auto"/>
                <w:sz w:val="24"/>
              </w:rPr>
              <w:t>4.4</w:t>
            </w:r>
            <w:r>
              <w:rPr>
                <w:rFonts w:hint="eastAsia"/>
                <w:color w:val="auto"/>
                <w:sz w:val="24"/>
              </w:rPr>
              <w:t>当柜内浓度高于</w:t>
            </w:r>
            <w:r>
              <w:rPr>
                <w:color w:val="auto"/>
                <w:sz w:val="24"/>
              </w:rPr>
              <w:t>15ppm</w:t>
            </w:r>
            <w:r>
              <w:rPr>
                <w:rFonts w:hint="eastAsia"/>
                <w:color w:val="auto"/>
                <w:sz w:val="24"/>
              </w:rPr>
              <w:t>时，智能安全系统将自动启动强制排风系统。当柜内浓度高于</w:t>
            </w:r>
            <w:r>
              <w:rPr>
                <w:color w:val="auto"/>
                <w:sz w:val="24"/>
              </w:rPr>
              <w:t>18ppm</w:t>
            </w:r>
            <w:r>
              <w:rPr>
                <w:rFonts w:hint="eastAsia"/>
                <w:color w:val="auto"/>
                <w:sz w:val="24"/>
              </w:rPr>
              <w:t>时，智能安全系统将启动声光报警灯，同时通过云控制平台给用户发警示短信或者打警示电话；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65" w:hRule="atLeast"/>
          <w:tblHeader/>
        </w:trPr>
        <w:tc>
          <w:tcPr>
            <w:tcW w:w="698" w:type="dxa"/>
            <w:vMerge w:val="continue"/>
            <w:shd w:val="clear" w:color="auto" w:fill="B8CCE4"/>
            <w:vAlign w:val="center"/>
          </w:tcPr>
          <w:p>
            <w:pPr>
              <w:pStyle w:val="129"/>
              <w:numPr>
                <w:ilvl w:val="0"/>
                <w:numId w:val="63"/>
              </w:numPr>
              <w:spacing w:line="360" w:lineRule="auto"/>
              <w:ind w:firstLineChars="0"/>
              <w:jc w:val="center"/>
              <w:rPr>
                <w:color w:val="auto"/>
              </w:rPr>
            </w:pPr>
          </w:p>
        </w:tc>
        <w:tc>
          <w:tcPr>
            <w:tcW w:w="1377" w:type="dxa"/>
            <w:vMerge w:val="continue"/>
            <w:vAlign w:val="center"/>
          </w:tcPr>
          <w:p>
            <w:pPr>
              <w:spacing w:line="360" w:lineRule="auto"/>
              <w:jc w:val="center"/>
              <w:rPr>
                <w:b/>
                <w:color w:val="auto"/>
                <w:sz w:val="24"/>
              </w:rPr>
            </w:pPr>
          </w:p>
        </w:tc>
        <w:tc>
          <w:tcPr>
            <w:tcW w:w="7905" w:type="dxa"/>
            <w:vAlign w:val="center"/>
          </w:tcPr>
          <w:p>
            <w:pPr>
              <w:jc w:val="left"/>
              <w:rPr>
                <w:color w:val="auto"/>
                <w:sz w:val="24"/>
              </w:rPr>
            </w:pPr>
            <w:r>
              <w:rPr>
                <w:color w:val="auto"/>
                <w:sz w:val="24"/>
              </w:rPr>
              <w:t>4.5</w:t>
            </w:r>
            <w:r>
              <w:rPr>
                <w:rFonts w:hint="eastAsia"/>
                <w:color w:val="auto"/>
                <w:sz w:val="24"/>
              </w:rPr>
              <w:t>柜内顶部安装通风管，管路上采用防火止回阀。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561" w:hRule="atLeast"/>
          <w:tblHeader/>
        </w:trPr>
        <w:tc>
          <w:tcPr>
            <w:tcW w:w="698" w:type="dxa"/>
            <w:vMerge w:val="restart"/>
            <w:shd w:val="clear" w:color="auto" w:fill="B8CCE4"/>
            <w:vAlign w:val="center"/>
          </w:tcPr>
          <w:p>
            <w:pPr>
              <w:pStyle w:val="129"/>
              <w:numPr>
                <w:ilvl w:val="0"/>
                <w:numId w:val="63"/>
              </w:numPr>
              <w:spacing w:line="360" w:lineRule="auto"/>
              <w:ind w:firstLineChars="0"/>
              <w:jc w:val="center"/>
              <w:rPr>
                <w:color w:val="auto"/>
              </w:rPr>
            </w:pPr>
          </w:p>
        </w:tc>
        <w:tc>
          <w:tcPr>
            <w:tcW w:w="1377" w:type="dxa"/>
            <w:vMerge w:val="restart"/>
            <w:vAlign w:val="center"/>
          </w:tcPr>
          <w:p>
            <w:pPr>
              <w:spacing w:line="360" w:lineRule="auto"/>
              <w:jc w:val="center"/>
              <w:rPr>
                <w:b/>
                <w:color w:val="auto"/>
                <w:sz w:val="24"/>
              </w:rPr>
            </w:pPr>
            <w:r>
              <w:rPr>
                <w:rFonts w:hint="eastAsia"/>
                <w:b/>
                <w:color w:val="auto"/>
                <w:sz w:val="24"/>
              </w:rPr>
              <w:t>废气净化系统</w:t>
            </w:r>
          </w:p>
        </w:tc>
        <w:tc>
          <w:tcPr>
            <w:tcW w:w="7905" w:type="dxa"/>
            <w:vAlign w:val="center"/>
          </w:tcPr>
          <w:p>
            <w:pPr>
              <w:adjustRightInd w:val="0"/>
              <w:snapToGrid w:val="0"/>
              <w:jc w:val="left"/>
              <w:rPr>
                <w:rFonts w:ascii="黑体" w:eastAsia="黑体"/>
                <w:color w:val="auto"/>
                <w:sz w:val="24"/>
              </w:rPr>
            </w:pPr>
            <w:r>
              <w:rPr>
                <w:color w:val="auto"/>
                <w:sz w:val="24"/>
              </w:rPr>
              <w:t>5.1</w:t>
            </w:r>
            <w:r>
              <w:rPr>
                <w:rFonts w:hint="eastAsia"/>
                <w:color w:val="auto"/>
                <w:sz w:val="24"/>
              </w:rPr>
              <w:t>废气处理系统安装于柜体外箱顶部，与内箱空间完全隔离，净化系统采用光催化氧化技术及复合式吸附模块三级结合处理，更加有效地处理可挥发酸性废气、碱性废气以及有机有毒废气，净化效率≥</w:t>
            </w:r>
            <w:r>
              <w:rPr>
                <w:color w:val="auto"/>
                <w:sz w:val="24"/>
              </w:rPr>
              <w:t>98%</w:t>
            </w:r>
            <w:r>
              <w:rPr>
                <w:rFonts w:hint="eastAsia"/>
                <w:color w:val="auto"/>
                <w:sz w:val="24"/>
              </w:rPr>
              <w:t>，无需换耗材，废气净化可长久使用。总处理能力大于</w:t>
            </w:r>
            <w:r>
              <w:rPr>
                <w:color w:val="auto"/>
                <w:sz w:val="24"/>
              </w:rPr>
              <w:t>3000m</w:t>
            </w:r>
            <w:r>
              <w:rPr>
                <w:rFonts w:hint="eastAsia"/>
                <w:color w:val="auto"/>
                <w:sz w:val="24"/>
              </w:rPr>
              <w:t>³</w:t>
            </w:r>
            <w:r>
              <w:rPr>
                <w:color w:val="auto"/>
                <w:sz w:val="24"/>
              </w:rPr>
              <w:t>/h</w:t>
            </w:r>
            <w:r>
              <w:rPr>
                <w:rFonts w:hint="eastAsia"/>
                <w:color w:val="auto"/>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716" w:hRule="atLeast"/>
          <w:tblHeader/>
        </w:trPr>
        <w:tc>
          <w:tcPr>
            <w:tcW w:w="698" w:type="dxa"/>
            <w:vMerge w:val="continue"/>
            <w:shd w:val="clear" w:color="auto" w:fill="B8CCE4"/>
            <w:vAlign w:val="center"/>
          </w:tcPr>
          <w:p>
            <w:pPr>
              <w:pStyle w:val="129"/>
              <w:numPr>
                <w:ilvl w:val="0"/>
                <w:numId w:val="63"/>
              </w:numPr>
              <w:spacing w:line="360" w:lineRule="auto"/>
              <w:ind w:firstLineChars="0"/>
              <w:jc w:val="center"/>
              <w:rPr>
                <w:color w:val="auto"/>
              </w:rPr>
            </w:pPr>
          </w:p>
        </w:tc>
        <w:tc>
          <w:tcPr>
            <w:tcW w:w="1377" w:type="dxa"/>
            <w:vMerge w:val="continue"/>
            <w:vAlign w:val="center"/>
          </w:tcPr>
          <w:p>
            <w:pPr>
              <w:spacing w:line="360" w:lineRule="auto"/>
              <w:jc w:val="center"/>
              <w:rPr>
                <w:b/>
                <w:color w:val="auto"/>
                <w:sz w:val="24"/>
              </w:rPr>
            </w:pPr>
          </w:p>
        </w:tc>
        <w:tc>
          <w:tcPr>
            <w:tcW w:w="7905" w:type="dxa"/>
            <w:vAlign w:val="center"/>
          </w:tcPr>
          <w:p>
            <w:pPr>
              <w:rPr>
                <w:rFonts w:ascii="宋体" w:hAnsi="宋体"/>
                <w:color w:val="auto"/>
                <w:sz w:val="24"/>
              </w:rPr>
            </w:pPr>
            <w:r>
              <w:rPr>
                <w:color w:val="auto"/>
                <w:sz w:val="24"/>
              </w:rPr>
              <w:t>5.3</w:t>
            </w:r>
            <w:r>
              <w:rPr>
                <w:rFonts w:hint="eastAsia" w:ascii="宋体" w:hAnsi="宋体"/>
                <w:color w:val="auto"/>
                <w:sz w:val="24"/>
              </w:rPr>
              <w:t>当柜内浓度高于</w:t>
            </w:r>
            <w:r>
              <w:rPr>
                <w:rFonts w:ascii="宋体" w:hAnsi="宋体"/>
                <w:color w:val="auto"/>
                <w:sz w:val="24"/>
              </w:rPr>
              <w:t>15ppm</w:t>
            </w:r>
            <w:r>
              <w:rPr>
                <w:rFonts w:hint="eastAsia" w:ascii="宋体" w:hAnsi="宋体"/>
                <w:color w:val="auto"/>
                <w:sz w:val="24"/>
              </w:rPr>
              <w:t>时，智能安全系统将自动启动废气处理系统，废气净化系统开启后废气排放符合《</w:t>
            </w:r>
            <w:r>
              <w:rPr>
                <w:rFonts w:ascii="宋体" w:hAnsi="宋体"/>
                <w:color w:val="auto"/>
                <w:sz w:val="24"/>
              </w:rPr>
              <w:t>GB16297</w:t>
            </w:r>
            <w:r>
              <w:rPr>
                <w:rFonts w:hint="eastAsia" w:ascii="宋体" w:hAnsi="宋体"/>
                <w:color w:val="auto"/>
                <w:sz w:val="24"/>
              </w:rPr>
              <w:t>大气污染物综合排放标准》要求的相关排放标准。为确保校园及周边环境不受污染，实验室安全管理设备主要几项总有机挥发物废气经处理后排放浓度值满足以下要求</w:t>
            </w:r>
            <w:r>
              <w:rPr>
                <w:rFonts w:ascii="宋体" w:hAnsi="宋体"/>
                <w:color w:val="auto"/>
                <w:sz w:val="24"/>
              </w:rPr>
              <w:t>:</w:t>
            </w:r>
          </w:p>
          <w:p>
            <w:pPr>
              <w:rPr>
                <w:color w:val="auto"/>
                <w:sz w:val="24"/>
              </w:rPr>
            </w:pPr>
            <w:r>
              <w:rPr>
                <w:rFonts w:hint="eastAsia"/>
                <w:color w:val="auto"/>
                <w:sz w:val="24"/>
              </w:rPr>
              <w:t>苯：≤</w:t>
            </w:r>
            <w:r>
              <w:rPr>
                <w:color w:val="auto"/>
                <w:sz w:val="24"/>
              </w:rPr>
              <w:t>0.02mg/m3</w:t>
            </w:r>
            <w:r>
              <w:rPr>
                <w:rFonts w:hint="eastAsia"/>
                <w:color w:val="auto"/>
                <w:sz w:val="24"/>
              </w:rPr>
              <w:t>、甲苯：≤</w:t>
            </w:r>
            <w:r>
              <w:rPr>
                <w:color w:val="auto"/>
                <w:sz w:val="24"/>
              </w:rPr>
              <w:t>0.02mg/m3</w:t>
            </w:r>
            <w:r>
              <w:rPr>
                <w:rFonts w:hint="eastAsia"/>
                <w:color w:val="auto"/>
                <w:sz w:val="24"/>
              </w:rPr>
              <w:t>、二甲苯：≤</w:t>
            </w:r>
            <w:r>
              <w:rPr>
                <w:color w:val="auto"/>
                <w:sz w:val="24"/>
              </w:rPr>
              <w:t>0.05mg/m3</w:t>
            </w:r>
            <w:r>
              <w:rPr>
                <w:rFonts w:hint="eastAsia"/>
                <w:color w:val="auto"/>
                <w:sz w:val="24"/>
              </w:rPr>
              <w:t>、氨：≤</w:t>
            </w:r>
            <w:r>
              <w:rPr>
                <w:color w:val="auto"/>
                <w:sz w:val="24"/>
              </w:rPr>
              <w:t>0.2mg/m3</w:t>
            </w:r>
          </w:p>
          <w:p>
            <w:pPr>
              <w:rPr>
                <w:rFonts w:ascii="宋体"/>
                <w:color w:val="auto"/>
                <w:sz w:val="24"/>
              </w:rPr>
            </w:pPr>
            <w:r>
              <w:rPr>
                <w:rFonts w:hint="eastAsia"/>
                <w:color w:val="auto"/>
                <w:sz w:val="24"/>
              </w:rPr>
              <w:t>★提供已使用用户（实验室废弃物暂存柜）所产生废气经处理后的第三方检测机构出具的总有机挥发物浓度合格检测报告，检测结果需包含并满足以上四项总有机挥发物的数值（提供复印件，原件备查）</w:t>
            </w:r>
            <w:r>
              <w:rPr>
                <w:rFonts w:hint="eastAsia" w:ascii="宋体" w:hAnsi="宋体"/>
                <w:color w:val="auto"/>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19" w:hRule="atLeast"/>
          <w:tblHeader/>
        </w:trPr>
        <w:tc>
          <w:tcPr>
            <w:tcW w:w="698" w:type="dxa"/>
            <w:vMerge w:val="restart"/>
            <w:shd w:val="clear" w:color="auto" w:fill="B8CCE4"/>
            <w:vAlign w:val="center"/>
          </w:tcPr>
          <w:p>
            <w:pPr>
              <w:pStyle w:val="129"/>
              <w:numPr>
                <w:ilvl w:val="0"/>
                <w:numId w:val="63"/>
              </w:numPr>
              <w:spacing w:line="360" w:lineRule="auto"/>
              <w:ind w:firstLineChars="0"/>
              <w:jc w:val="center"/>
              <w:rPr>
                <w:color w:val="auto"/>
              </w:rPr>
            </w:pPr>
          </w:p>
        </w:tc>
        <w:tc>
          <w:tcPr>
            <w:tcW w:w="1377" w:type="dxa"/>
            <w:vMerge w:val="restart"/>
            <w:vAlign w:val="center"/>
          </w:tcPr>
          <w:p>
            <w:pPr>
              <w:spacing w:line="360" w:lineRule="auto"/>
              <w:jc w:val="center"/>
              <w:rPr>
                <w:b/>
                <w:color w:val="auto"/>
                <w:sz w:val="24"/>
              </w:rPr>
            </w:pPr>
            <w:r>
              <w:rPr>
                <w:rFonts w:hint="eastAsia"/>
                <w:b/>
                <w:color w:val="auto"/>
                <w:sz w:val="24"/>
              </w:rPr>
              <w:t>温度控制系统</w:t>
            </w:r>
          </w:p>
        </w:tc>
        <w:tc>
          <w:tcPr>
            <w:tcW w:w="7905" w:type="dxa"/>
            <w:vAlign w:val="center"/>
          </w:tcPr>
          <w:p>
            <w:pPr>
              <w:rPr>
                <w:color w:val="auto"/>
                <w:sz w:val="24"/>
              </w:rPr>
            </w:pPr>
            <w:r>
              <w:rPr>
                <w:color w:val="auto"/>
                <w:sz w:val="24"/>
              </w:rPr>
              <w:t>6.1</w:t>
            </w:r>
            <w:r>
              <w:rPr>
                <w:rFonts w:hint="eastAsia"/>
                <w:color w:val="auto"/>
                <w:sz w:val="24"/>
              </w:rPr>
              <w:t>柜体内壁设置≥</w:t>
            </w:r>
            <w:r>
              <w:rPr>
                <w:color w:val="auto"/>
                <w:sz w:val="24"/>
              </w:rPr>
              <w:t>50mm</w:t>
            </w:r>
            <w:r>
              <w:rPr>
                <w:rFonts w:hint="eastAsia"/>
                <w:color w:val="auto"/>
                <w:sz w:val="24"/>
              </w:rPr>
              <w:t>厚的</w:t>
            </w:r>
            <w:r>
              <w:rPr>
                <w:color w:val="auto"/>
                <w:sz w:val="24"/>
              </w:rPr>
              <w:t>A</w:t>
            </w:r>
            <w:r>
              <w:rPr>
                <w:rFonts w:hint="eastAsia"/>
                <w:color w:val="auto"/>
                <w:sz w:val="24"/>
              </w:rPr>
              <w:t>级防火隔热保温层，防止阳光照射时内部温度过热，低温天气起到保温作用。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5" w:hRule="atLeast"/>
          <w:tblHeader/>
        </w:trPr>
        <w:tc>
          <w:tcPr>
            <w:tcW w:w="698" w:type="dxa"/>
            <w:vMerge w:val="continue"/>
            <w:shd w:val="clear" w:color="auto" w:fill="B8CCE4"/>
            <w:vAlign w:val="center"/>
          </w:tcPr>
          <w:p>
            <w:pPr>
              <w:pStyle w:val="129"/>
              <w:numPr>
                <w:ilvl w:val="0"/>
                <w:numId w:val="63"/>
              </w:numPr>
              <w:spacing w:line="360" w:lineRule="auto"/>
              <w:ind w:firstLineChars="0"/>
              <w:jc w:val="center"/>
              <w:rPr>
                <w:color w:val="auto"/>
              </w:rPr>
            </w:pPr>
          </w:p>
        </w:tc>
        <w:tc>
          <w:tcPr>
            <w:tcW w:w="1377" w:type="dxa"/>
            <w:vMerge w:val="continue"/>
            <w:vAlign w:val="center"/>
          </w:tcPr>
          <w:p>
            <w:pPr>
              <w:spacing w:line="360" w:lineRule="auto"/>
              <w:jc w:val="center"/>
              <w:rPr>
                <w:b/>
                <w:color w:val="auto"/>
                <w:sz w:val="24"/>
              </w:rPr>
            </w:pPr>
          </w:p>
        </w:tc>
        <w:tc>
          <w:tcPr>
            <w:tcW w:w="7905" w:type="dxa"/>
            <w:vAlign w:val="center"/>
          </w:tcPr>
          <w:p>
            <w:pPr>
              <w:rPr>
                <w:color w:val="auto"/>
                <w:sz w:val="24"/>
              </w:rPr>
            </w:pPr>
            <w:r>
              <w:rPr>
                <w:color w:val="auto"/>
                <w:sz w:val="24"/>
              </w:rPr>
              <w:t>6.2</w:t>
            </w:r>
            <w:r>
              <w:rPr>
                <w:rFonts w:hint="eastAsia"/>
                <w:color w:val="auto"/>
                <w:sz w:val="24"/>
              </w:rPr>
              <w:t>柜体内设有防爆空调，当室温度超过或低于设定的安全温度值（</w:t>
            </w:r>
            <w:r>
              <w:rPr>
                <w:color w:val="auto"/>
                <w:sz w:val="24"/>
              </w:rPr>
              <w:t>3-28</w:t>
            </w:r>
            <w:r>
              <w:rPr>
                <w:rFonts w:hint="eastAsia"/>
                <w:color w:val="auto"/>
                <w:sz w:val="24"/>
              </w:rPr>
              <w:t>℃）时将自动开启，自动有效保证柜内的安全温度，防爆空调功率：大</w:t>
            </w:r>
            <w:r>
              <w:rPr>
                <w:color w:val="auto"/>
                <w:sz w:val="24"/>
              </w:rPr>
              <w:t xml:space="preserve">2P, </w:t>
            </w:r>
            <w:r>
              <w:rPr>
                <w:rFonts w:hint="eastAsia"/>
                <w:color w:val="auto"/>
                <w:sz w:val="24"/>
              </w:rPr>
              <w:t>制冷量</w:t>
            </w:r>
            <w:r>
              <w:rPr>
                <w:color w:val="auto"/>
                <w:sz w:val="24"/>
              </w:rPr>
              <w:t>3000W</w:t>
            </w:r>
            <w:r>
              <w:rPr>
                <w:rFonts w:hint="eastAsia"/>
                <w:color w:val="auto"/>
                <w:sz w:val="24"/>
              </w:rPr>
              <w:t>；制热量</w:t>
            </w:r>
            <w:r>
              <w:rPr>
                <w:color w:val="auto"/>
                <w:sz w:val="24"/>
              </w:rPr>
              <w:t>3500 W</w:t>
            </w:r>
            <w:r>
              <w:rPr>
                <w:rFonts w:hint="eastAsia"/>
                <w:color w:val="auto"/>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91" w:hRule="atLeast"/>
          <w:tblHeader/>
        </w:trPr>
        <w:tc>
          <w:tcPr>
            <w:tcW w:w="698" w:type="dxa"/>
            <w:vMerge w:val="continue"/>
            <w:shd w:val="clear" w:color="auto" w:fill="B8CCE4"/>
            <w:vAlign w:val="center"/>
          </w:tcPr>
          <w:p>
            <w:pPr>
              <w:pStyle w:val="129"/>
              <w:numPr>
                <w:ilvl w:val="0"/>
                <w:numId w:val="63"/>
              </w:numPr>
              <w:spacing w:line="360" w:lineRule="auto"/>
              <w:ind w:firstLineChars="0"/>
              <w:jc w:val="center"/>
              <w:rPr>
                <w:color w:val="auto"/>
              </w:rPr>
            </w:pPr>
          </w:p>
        </w:tc>
        <w:tc>
          <w:tcPr>
            <w:tcW w:w="1377" w:type="dxa"/>
            <w:vMerge w:val="continue"/>
            <w:vAlign w:val="center"/>
          </w:tcPr>
          <w:p>
            <w:pPr>
              <w:spacing w:line="360" w:lineRule="auto"/>
              <w:jc w:val="center"/>
              <w:rPr>
                <w:b/>
                <w:color w:val="auto"/>
                <w:sz w:val="24"/>
              </w:rPr>
            </w:pPr>
          </w:p>
        </w:tc>
        <w:tc>
          <w:tcPr>
            <w:tcW w:w="7905" w:type="dxa"/>
            <w:vAlign w:val="center"/>
          </w:tcPr>
          <w:p>
            <w:pPr>
              <w:rPr>
                <w:color w:val="auto"/>
                <w:sz w:val="24"/>
              </w:rPr>
            </w:pPr>
            <w:r>
              <w:rPr>
                <w:color w:val="auto"/>
                <w:sz w:val="24"/>
              </w:rPr>
              <w:t>6.3</w:t>
            </w:r>
            <w:r>
              <w:rPr>
                <w:rFonts w:hint="eastAsia"/>
                <w:color w:val="auto"/>
                <w:sz w:val="24"/>
              </w:rPr>
              <w:t>柜体上部配有喷淋降温系统，当柜内温度超过</w:t>
            </w:r>
            <w:r>
              <w:rPr>
                <w:color w:val="auto"/>
                <w:sz w:val="24"/>
              </w:rPr>
              <w:t>28</w:t>
            </w:r>
            <w:r>
              <w:rPr>
                <w:rFonts w:hint="eastAsia"/>
                <w:color w:val="auto"/>
                <w:sz w:val="24"/>
              </w:rPr>
              <w:t>℃或低于</w:t>
            </w:r>
            <w:r>
              <w:rPr>
                <w:color w:val="auto"/>
                <w:sz w:val="24"/>
              </w:rPr>
              <w:t>3</w:t>
            </w:r>
            <w:r>
              <w:rPr>
                <w:rFonts w:hint="eastAsia"/>
                <w:color w:val="auto"/>
                <w:sz w:val="24"/>
              </w:rPr>
              <w:t>℃时，系统将自动启动声光报警灯，同时通过云控制平台给用户发警示短信，用户可选择手动开启喷淋降温系统；若遇极端状态下（温度超过</w:t>
            </w:r>
            <w:r>
              <w:rPr>
                <w:color w:val="auto"/>
                <w:sz w:val="24"/>
              </w:rPr>
              <w:t>58</w:t>
            </w:r>
            <w:r>
              <w:rPr>
                <w:rFonts w:hint="eastAsia"/>
                <w:color w:val="auto"/>
                <w:sz w:val="24"/>
              </w:rPr>
              <w:t>℃），控制系统可以通过电动球阀自动控制柜体顶部的喷淋装置，起降温灭火作用；</w:t>
            </w:r>
          </w:p>
          <w:p>
            <w:pPr>
              <w:rPr>
                <w:color w:val="auto"/>
                <w:sz w:val="24"/>
              </w:rPr>
            </w:pPr>
            <w:r>
              <w:rPr>
                <w:rFonts w:hint="eastAsia"/>
                <w:color w:val="auto"/>
                <w:sz w:val="24"/>
              </w:rPr>
              <w:t>★提供喷淋系统的供水水箱、管路、电磁阀与净水装置的用户现场实景安装连接图，以保证喷淋系统能够在紧急情况下正常使用；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19" w:hRule="atLeast"/>
          <w:tblHeader/>
        </w:trPr>
        <w:tc>
          <w:tcPr>
            <w:tcW w:w="698" w:type="dxa"/>
            <w:vMerge w:val="continue"/>
            <w:shd w:val="clear" w:color="auto" w:fill="B8CCE4"/>
            <w:vAlign w:val="center"/>
          </w:tcPr>
          <w:p>
            <w:pPr>
              <w:pStyle w:val="129"/>
              <w:numPr>
                <w:ilvl w:val="0"/>
                <w:numId w:val="63"/>
              </w:numPr>
              <w:spacing w:line="360" w:lineRule="auto"/>
              <w:ind w:firstLineChars="0"/>
              <w:jc w:val="center"/>
              <w:rPr>
                <w:color w:val="auto"/>
              </w:rPr>
            </w:pPr>
          </w:p>
        </w:tc>
        <w:tc>
          <w:tcPr>
            <w:tcW w:w="1377" w:type="dxa"/>
            <w:vMerge w:val="continue"/>
            <w:vAlign w:val="center"/>
          </w:tcPr>
          <w:p>
            <w:pPr>
              <w:spacing w:line="360" w:lineRule="auto"/>
              <w:jc w:val="center"/>
              <w:rPr>
                <w:b/>
                <w:color w:val="auto"/>
                <w:sz w:val="24"/>
              </w:rPr>
            </w:pPr>
          </w:p>
        </w:tc>
        <w:tc>
          <w:tcPr>
            <w:tcW w:w="7905" w:type="dxa"/>
            <w:vAlign w:val="center"/>
          </w:tcPr>
          <w:p>
            <w:pPr>
              <w:rPr>
                <w:color w:val="auto"/>
                <w:sz w:val="24"/>
              </w:rPr>
            </w:pPr>
            <w:r>
              <w:rPr>
                <w:color w:val="auto"/>
                <w:sz w:val="24"/>
              </w:rPr>
              <w:t>6.4</w:t>
            </w:r>
            <w:r>
              <w:rPr>
                <w:rFonts w:hint="eastAsia"/>
                <w:color w:val="auto"/>
                <w:sz w:val="24"/>
              </w:rPr>
              <w:t>喷淋降温装置配有手动球阀，停电或电路故障时，可以手动打开阀门启动喷淋降温。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19" w:hRule="atLeast"/>
          <w:tblHeader/>
        </w:trPr>
        <w:tc>
          <w:tcPr>
            <w:tcW w:w="698" w:type="dxa"/>
            <w:vMerge w:val="continue"/>
            <w:shd w:val="clear" w:color="auto" w:fill="B8CCE4"/>
            <w:vAlign w:val="center"/>
          </w:tcPr>
          <w:p>
            <w:pPr>
              <w:pStyle w:val="129"/>
              <w:numPr>
                <w:ilvl w:val="0"/>
                <w:numId w:val="63"/>
              </w:numPr>
              <w:spacing w:line="360" w:lineRule="auto"/>
              <w:ind w:firstLineChars="0"/>
              <w:jc w:val="center"/>
              <w:rPr>
                <w:color w:val="auto"/>
              </w:rPr>
            </w:pPr>
          </w:p>
        </w:tc>
        <w:tc>
          <w:tcPr>
            <w:tcW w:w="1377" w:type="dxa"/>
            <w:vMerge w:val="continue"/>
            <w:vAlign w:val="center"/>
          </w:tcPr>
          <w:p>
            <w:pPr>
              <w:spacing w:line="360" w:lineRule="auto"/>
              <w:jc w:val="center"/>
              <w:rPr>
                <w:b/>
                <w:color w:val="auto"/>
                <w:sz w:val="24"/>
              </w:rPr>
            </w:pPr>
          </w:p>
        </w:tc>
        <w:tc>
          <w:tcPr>
            <w:tcW w:w="7905" w:type="dxa"/>
            <w:vAlign w:val="center"/>
          </w:tcPr>
          <w:p>
            <w:pPr>
              <w:rPr>
                <w:color w:val="auto"/>
                <w:sz w:val="24"/>
              </w:rPr>
            </w:pPr>
            <w:r>
              <w:rPr>
                <w:color w:val="auto"/>
                <w:sz w:val="24"/>
              </w:rPr>
              <w:t>6.6</w:t>
            </w:r>
            <w:r>
              <w:rPr>
                <w:rFonts w:hint="eastAsia"/>
                <w:color w:val="auto"/>
                <w:sz w:val="24"/>
              </w:rPr>
              <w:t>在防火隔热层、空调系统、喷淋系统等</w:t>
            </w:r>
            <w:r>
              <w:rPr>
                <w:rFonts w:hint="eastAsia" w:ascii="宋体" w:hAnsi="宋体" w:cs="宋体"/>
                <w:color w:val="auto"/>
                <w:sz w:val="24"/>
              </w:rPr>
              <w:t>协同作用下可将全年柜内温度控制在安全温度值内。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2" w:hRule="atLeast"/>
          <w:tblHeader/>
        </w:trPr>
        <w:tc>
          <w:tcPr>
            <w:tcW w:w="698" w:type="dxa"/>
            <w:vMerge w:val="restart"/>
            <w:shd w:val="clear" w:color="auto" w:fill="B8CCE4"/>
            <w:vAlign w:val="center"/>
          </w:tcPr>
          <w:p>
            <w:pPr>
              <w:pStyle w:val="129"/>
              <w:numPr>
                <w:ilvl w:val="0"/>
                <w:numId w:val="63"/>
              </w:numPr>
              <w:spacing w:line="360" w:lineRule="auto"/>
              <w:ind w:firstLineChars="0"/>
              <w:jc w:val="center"/>
              <w:rPr>
                <w:color w:val="auto"/>
              </w:rPr>
            </w:pPr>
          </w:p>
        </w:tc>
        <w:tc>
          <w:tcPr>
            <w:tcW w:w="1377" w:type="dxa"/>
            <w:vMerge w:val="restart"/>
            <w:vAlign w:val="center"/>
          </w:tcPr>
          <w:p>
            <w:pPr>
              <w:spacing w:line="360" w:lineRule="auto"/>
              <w:jc w:val="center"/>
              <w:rPr>
                <w:b/>
                <w:color w:val="auto"/>
                <w:sz w:val="24"/>
              </w:rPr>
            </w:pPr>
            <w:r>
              <w:rPr>
                <w:rFonts w:hint="eastAsia"/>
                <w:b/>
                <w:color w:val="auto"/>
                <w:sz w:val="24"/>
              </w:rPr>
              <w:t>传感监测系统</w:t>
            </w:r>
          </w:p>
        </w:tc>
        <w:tc>
          <w:tcPr>
            <w:tcW w:w="7905" w:type="dxa"/>
            <w:vAlign w:val="center"/>
          </w:tcPr>
          <w:p>
            <w:pPr>
              <w:jc w:val="left"/>
              <w:rPr>
                <w:color w:val="auto"/>
                <w:sz w:val="24"/>
              </w:rPr>
            </w:pPr>
            <w:r>
              <w:rPr>
                <w:color w:val="auto"/>
                <w:sz w:val="24"/>
              </w:rPr>
              <w:t>7.1</w:t>
            </w:r>
            <w:r>
              <w:rPr>
                <w:rFonts w:hint="eastAsia"/>
                <w:color w:val="auto"/>
                <w:sz w:val="24"/>
              </w:rPr>
              <w:t>柜内设置湿度指示装置、温湿度传感装置和可燃气体监测传感装置，带</w:t>
            </w:r>
            <w:r>
              <w:rPr>
                <w:color w:val="auto"/>
                <w:sz w:val="24"/>
              </w:rPr>
              <w:t>LED</w:t>
            </w:r>
            <w:r>
              <w:rPr>
                <w:rFonts w:hint="eastAsia"/>
                <w:color w:val="auto"/>
                <w:sz w:val="24"/>
              </w:rPr>
              <w:t>现场数据显示功能，用于柜体内部环境监测；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2" w:hRule="atLeast"/>
          <w:tblHeader/>
        </w:trPr>
        <w:tc>
          <w:tcPr>
            <w:tcW w:w="698" w:type="dxa"/>
            <w:vMerge w:val="continue"/>
            <w:shd w:val="clear" w:color="auto" w:fill="B8CCE4"/>
            <w:vAlign w:val="center"/>
          </w:tcPr>
          <w:p>
            <w:pPr>
              <w:pStyle w:val="129"/>
              <w:numPr>
                <w:ilvl w:val="0"/>
                <w:numId w:val="63"/>
              </w:numPr>
              <w:spacing w:line="360" w:lineRule="auto"/>
              <w:ind w:firstLineChars="0"/>
              <w:jc w:val="center"/>
              <w:rPr>
                <w:color w:val="auto"/>
              </w:rPr>
            </w:pPr>
          </w:p>
        </w:tc>
        <w:tc>
          <w:tcPr>
            <w:tcW w:w="1377" w:type="dxa"/>
            <w:vMerge w:val="continue"/>
            <w:vAlign w:val="center"/>
          </w:tcPr>
          <w:p>
            <w:pPr>
              <w:spacing w:line="360" w:lineRule="auto"/>
              <w:jc w:val="center"/>
              <w:rPr>
                <w:b/>
                <w:color w:val="auto"/>
                <w:sz w:val="24"/>
              </w:rPr>
            </w:pPr>
          </w:p>
        </w:tc>
        <w:tc>
          <w:tcPr>
            <w:tcW w:w="7905" w:type="dxa"/>
            <w:vAlign w:val="center"/>
          </w:tcPr>
          <w:p>
            <w:pPr>
              <w:jc w:val="left"/>
              <w:rPr>
                <w:color w:val="auto"/>
                <w:sz w:val="24"/>
              </w:rPr>
            </w:pPr>
            <w:r>
              <w:rPr>
                <w:color w:val="auto"/>
                <w:sz w:val="24"/>
              </w:rPr>
              <w:t>7.2</w:t>
            </w:r>
            <w:r>
              <w:rPr>
                <w:rFonts w:hint="eastAsia"/>
                <w:color w:val="auto"/>
                <w:sz w:val="24"/>
              </w:rPr>
              <w:t>各传感装置能</w:t>
            </w:r>
            <w:r>
              <w:rPr>
                <w:color w:val="auto"/>
                <w:sz w:val="24"/>
              </w:rPr>
              <w:t>24</w:t>
            </w:r>
            <w:r>
              <w:rPr>
                <w:rFonts w:hint="eastAsia"/>
                <w:color w:val="auto"/>
                <w:sz w:val="24"/>
              </w:rPr>
              <w:t>小时实时监测柜体内部，当指标达到设定安全值</w:t>
            </w:r>
            <w:r>
              <w:rPr>
                <w:color w:val="auto"/>
                <w:sz w:val="24"/>
              </w:rPr>
              <w:t>20%-30%</w:t>
            </w:r>
            <w:r>
              <w:rPr>
                <w:rFonts w:hint="eastAsia"/>
                <w:color w:val="auto"/>
                <w:sz w:val="24"/>
              </w:rPr>
              <w:t>（可调）时，通过控制系统自动发出警报，同时智能执行各类处置措施。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19" w:hRule="atLeast"/>
          <w:tblHeader/>
        </w:trPr>
        <w:tc>
          <w:tcPr>
            <w:tcW w:w="698" w:type="dxa"/>
            <w:vMerge w:val="restart"/>
            <w:shd w:val="clear" w:color="auto" w:fill="B8CCE4"/>
            <w:vAlign w:val="center"/>
          </w:tcPr>
          <w:p>
            <w:pPr>
              <w:pStyle w:val="129"/>
              <w:numPr>
                <w:ilvl w:val="0"/>
                <w:numId w:val="63"/>
              </w:numPr>
              <w:spacing w:line="360" w:lineRule="auto"/>
              <w:ind w:firstLineChars="0"/>
              <w:jc w:val="center"/>
              <w:rPr>
                <w:color w:val="auto"/>
              </w:rPr>
            </w:pPr>
          </w:p>
        </w:tc>
        <w:tc>
          <w:tcPr>
            <w:tcW w:w="1377" w:type="dxa"/>
            <w:vMerge w:val="restart"/>
            <w:vAlign w:val="center"/>
          </w:tcPr>
          <w:p>
            <w:pPr>
              <w:spacing w:line="360" w:lineRule="auto"/>
              <w:jc w:val="center"/>
              <w:rPr>
                <w:b/>
                <w:color w:val="auto"/>
                <w:sz w:val="24"/>
              </w:rPr>
            </w:pPr>
            <w:r>
              <w:rPr>
                <w:rFonts w:hint="eastAsia"/>
                <w:b/>
                <w:color w:val="auto"/>
                <w:sz w:val="24"/>
              </w:rPr>
              <w:t>防爆供电系统</w:t>
            </w:r>
          </w:p>
        </w:tc>
        <w:tc>
          <w:tcPr>
            <w:tcW w:w="7905" w:type="dxa"/>
            <w:vAlign w:val="center"/>
          </w:tcPr>
          <w:p>
            <w:pPr>
              <w:jc w:val="left"/>
              <w:rPr>
                <w:color w:val="auto"/>
                <w:sz w:val="24"/>
              </w:rPr>
            </w:pPr>
            <w:r>
              <w:rPr>
                <w:color w:val="auto"/>
                <w:sz w:val="24"/>
              </w:rPr>
              <w:t>8.1</w:t>
            </w:r>
            <w:r>
              <w:rPr>
                <w:rFonts w:hint="eastAsia"/>
                <w:color w:val="auto"/>
                <w:sz w:val="24"/>
              </w:rPr>
              <w:t>防爆配电箱防爆等级达到</w:t>
            </w:r>
            <w:r>
              <w:rPr>
                <w:color w:val="auto"/>
                <w:sz w:val="24"/>
              </w:rPr>
              <w:t>ExdII BT6</w:t>
            </w:r>
            <w:r>
              <w:rPr>
                <w:rFonts w:hint="eastAsia"/>
                <w:color w:val="auto"/>
                <w:sz w:val="24"/>
              </w:rPr>
              <w:t>，外壳材料由铝合金铸压成型，经环氧树脂涂装；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8" w:hRule="atLeast"/>
          <w:tblHeader/>
        </w:trPr>
        <w:tc>
          <w:tcPr>
            <w:tcW w:w="698" w:type="dxa"/>
            <w:vMerge w:val="continue"/>
            <w:shd w:val="clear" w:color="auto" w:fill="B8CCE4"/>
            <w:vAlign w:val="center"/>
          </w:tcPr>
          <w:p>
            <w:pPr>
              <w:pStyle w:val="129"/>
              <w:numPr>
                <w:ilvl w:val="0"/>
                <w:numId w:val="63"/>
              </w:numPr>
              <w:spacing w:line="360" w:lineRule="auto"/>
              <w:ind w:firstLineChars="0"/>
              <w:jc w:val="center"/>
              <w:rPr>
                <w:color w:val="auto"/>
              </w:rPr>
            </w:pPr>
          </w:p>
        </w:tc>
        <w:tc>
          <w:tcPr>
            <w:tcW w:w="1377" w:type="dxa"/>
            <w:vMerge w:val="continue"/>
            <w:vAlign w:val="center"/>
          </w:tcPr>
          <w:p>
            <w:pPr>
              <w:spacing w:line="360" w:lineRule="auto"/>
              <w:jc w:val="center"/>
              <w:rPr>
                <w:b/>
                <w:color w:val="auto"/>
                <w:sz w:val="24"/>
              </w:rPr>
            </w:pPr>
          </w:p>
        </w:tc>
        <w:tc>
          <w:tcPr>
            <w:tcW w:w="7905" w:type="dxa"/>
            <w:vAlign w:val="center"/>
          </w:tcPr>
          <w:p>
            <w:pPr>
              <w:jc w:val="left"/>
              <w:rPr>
                <w:color w:val="auto"/>
                <w:sz w:val="24"/>
              </w:rPr>
            </w:pPr>
            <w:r>
              <w:rPr>
                <w:color w:val="auto"/>
                <w:sz w:val="24"/>
              </w:rPr>
              <w:t>8.2</w:t>
            </w:r>
            <w:r>
              <w:rPr>
                <w:rFonts w:hint="eastAsia"/>
                <w:color w:val="auto"/>
                <w:sz w:val="24"/>
              </w:rPr>
              <w:t>内部照明采用防爆日光灯，出口处设置防爆应急灯；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19" w:hRule="atLeast"/>
          <w:tblHeader/>
        </w:trPr>
        <w:tc>
          <w:tcPr>
            <w:tcW w:w="698" w:type="dxa"/>
            <w:vMerge w:val="continue"/>
            <w:shd w:val="clear" w:color="auto" w:fill="B8CCE4"/>
            <w:vAlign w:val="center"/>
          </w:tcPr>
          <w:p>
            <w:pPr>
              <w:pStyle w:val="129"/>
              <w:numPr>
                <w:ilvl w:val="0"/>
                <w:numId w:val="63"/>
              </w:numPr>
              <w:spacing w:line="360" w:lineRule="auto"/>
              <w:ind w:firstLineChars="0"/>
              <w:jc w:val="center"/>
              <w:rPr>
                <w:color w:val="auto"/>
              </w:rPr>
            </w:pPr>
          </w:p>
        </w:tc>
        <w:tc>
          <w:tcPr>
            <w:tcW w:w="1377" w:type="dxa"/>
            <w:vMerge w:val="continue"/>
            <w:vAlign w:val="center"/>
          </w:tcPr>
          <w:p>
            <w:pPr>
              <w:spacing w:line="360" w:lineRule="auto"/>
              <w:jc w:val="center"/>
              <w:rPr>
                <w:b/>
                <w:color w:val="auto"/>
                <w:sz w:val="24"/>
              </w:rPr>
            </w:pPr>
          </w:p>
        </w:tc>
        <w:tc>
          <w:tcPr>
            <w:tcW w:w="7905" w:type="dxa"/>
            <w:vAlign w:val="center"/>
          </w:tcPr>
          <w:p>
            <w:pPr>
              <w:jc w:val="left"/>
              <w:rPr>
                <w:color w:val="auto"/>
                <w:sz w:val="24"/>
              </w:rPr>
            </w:pPr>
            <w:r>
              <w:rPr>
                <w:color w:val="auto"/>
                <w:sz w:val="24"/>
              </w:rPr>
              <w:t>8.3</w:t>
            </w:r>
            <w:r>
              <w:rPr>
                <w:rFonts w:hint="eastAsia"/>
                <w:color w:val="auto"/>
                <w:sz w:val="24"/>
              </w:rPr>
              <w:t>内部温度传感器使用防爆设计，内部空调使用防爆设计，内部可燃气体传感器使用防爆设计；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2" w:hRule="atLeast"/>
          <w:tblHeader/>
        </w:trPr>
        <w:tc>
          <w:tcPr>
            <w:tcW w:w="698" w:type="dxa"/>
            <w:vMerge w:val="continue"/>
            <w:shd w:val="clear" w:color="auto" w:fill="B8CCE4"/>
            <w:vAlign w:val="center"/>
          </w:tcPr>
          <w:p>
            <w:pPr>
              <w:pStyle w:val="129"/>
              <w:numPr>
                <w:ilvl w:val="0"/>
                <w:numId w:val="63"/>
              </w:numPr>
              <w:spacing w:line="360" w:lineRule="auto"/>
              <w:ind w:firstLineChars="0"/>
              <w:jc w:val="center"/>
              <w:rPr>
                <w:color w:val="auto"/>
              </w:rPr>
            </w:pPr>
          </w:p>
        </w:tc>
        <w:tc>
          <w:tcPr>
            <w:tcW w:w="1377" w:type="dxa"/>
            <w:vMerge w:val="continue"/>
            <w:vAlign w:val="center"/>
          </w:tcPr>
          <w:p>
            <w:pPr>
              <w:spacing w:line="360" w:lineRule="auto"/>
              <w:jc w:val="center"/>
              <w:rPr>
                <w:b/>
                <w:color w:val="auto"/>
                <w:sz w:val="24"/>
              </w:rPr>
            </w:pPr>
          </w:p>
        </w:tc>
        <w:tc>
          <w:tcPr>
            <w:tcW w:w="7905" w:type="dxa"/>
            <w:vAlign w:val="center"/>
          </w:tcPr>
          <w:p>
            <w:pPr>
              <w:jc w:val="left"/>
              <w:rPr>
                <w:color w:val="auto"/>
                <w:sz w:val="24"/>
              </w:rPr>
            </w:pPr>
            <w:r>
              <w:rPr>
                <w:color w:val="auto"/>
                <w:sz w:val="24"/>
              </w:rPr>
              <w:t>8.4</w:t>
            </w:r>
            <w:r>
              <w:rPr>
                <w:rFonts w:hint="eastAsia"/>
                <w:color w:val="auto"/>
                <w:sz w:val="24"/>
              </w:rPr>
              <w:t>柜内电路敷设按照防爆要求设置，柜内的防爆电器设备的安装、维护、检测等满足《防爆电器设计、安装、维护、检测与安全技术标准规范实用手册》的要求；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19" w:hRule="atLeast"/>
          <w:tblHeader/>
        </w:trPr>
        <w:tc>
          <w:tcPr>
            <w:tcW w:w="698" w:type="dxa"/>
            <w:vMerge w:val="continue"/>
            <w:shd w:val="clear" w:color="auto" w:fill="B8CCE4"/>
            <w:vAlign w:val="center"/>
          </w:tcPr>
          <w:p>
            <w:pPr>
              <w:pStyle w:val="129"/>
              <w:numPr>
                <w:ilvl w:val="0"/>
                <w:numId w:val="63"/>
              </w:numPr>
              <w:spacing w:line="360" w:lineRule="auto"/>
              <w:ind w:firstLineChars="0"/>
              <w:jc w:val="center"/>
              <w:rPr>
                <w:color w:val="auto"/>
              </w:rPr>
            </w:pPr>
          </w:p>
        </w:tc>
        <w:tc>
          <w:tcPr>
            <w:tcW w:w="1377" w:type="dxa"/>
            <w:vMerge w:val="continue"/>
            <w:vAlign w:val="center"/>
          </w:tcPr>
          <w:p>
            <w:pPr>
              <w:spacing w:line="360" w:lineRule="auto"/>
              <w:jc w:val="center"/>
              <w:rPr>
                <w:b/>
                <w:color w:val="auto"/>
                <w:sz w:val="24"/>
              </w:rPr>
            </w:pPr>
          </w:p>
        </w:tc>
        <w:tc>
          <w:tcPr>
            <w:tcW w:w="7905" w:type="dxa"/>
            <w:vAlign w:val="center"/>
          </w:tcPr>
          <w:p>
            <w:pPr>
              <w:jc w:val="left"/>
              <w:rPr>
                <w:color w:val="auto"/>
                <w:sz w:val="24"/>
              </w:rPr>
            </w:pPr>
            <w:r>
              <w:rPr>
                <w:color w:val="auto"/>
                <w:sz w:val="24"/>
              </w:rPr>
              <w:t>8.5</w:t>
            </w:r>
            <w:r>
              <w:rPr>
                <w:rFonts w:hint="eastAsia"/>
                <w:color w:val="auto"/>
                <w:sz w:val="24"/>
              </w:rPr>
              <w:t>内部主要电气配件有国家防爆电气检验部门出具的防爆合格证及检测报告。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5" w:hRule="atLeast"/>
          <w:tblHeader/>
        </w:trPr>
        <w:tc>
          <w:tcPr>
            <w:tcW w:w="698" w:type="dxa"/>
            <w:shd w:val="clear" w:color="auto" w:fill="B8CCE4"/>
            <w:vAlign w:val="center"/>
          </w:tcPr>
          <w:p>
            <w:pPr>
              <w:pStyle w:val="129"/>
              <w:numPr>
                <w:ilvl w:val="0"/>
                <w:numId w:val="63"/>
              </w:numPr>
              <w:spacing w:line="360" w:lineRule="auto"/>
              <w:ind w:firstLineChars="0"/>
              <w:jc w:val="center"/>
              <w:rPr>
                <w:color w:val="auto"/>
              </w:rPr>
            </w:pPr>
          </w:p>
        </w:tc>
        <w:tc>
          <w:tcPr>
            <w:tcW w:w="1377" w:type="dxa"/>
            <w:vAlign w:val="center"/>
          </w:tcPr>
          <w:p>
            <w:pPr>
              <w:spacing w:line="360" w:lineRule="auto"/>
              <w:jc w:val="center"/>
              <w:rPr>
                <w:b/>
                <w:color w:val="auto"/>
                <w:sz w:val="24"/>
              </w:rPr>
            </w:pPr>
            <w:r>
              <w:rPr>
                <w:rFonts w:hint="eastAsia"/>
                <w:b/>
                <w:color w:val="auto"/>
                <w:sz w:val="24"/>
              </w:rPr>
              <w:t>漏液回收系统</w:t>
            </w:r>
          </w:p>
        </w:tc>
        <w:tc>
          <w:tcPr>
            <w:tcW w:w="7905" w:type="dxa"/>
            <w:vAlign w:val="center"/>
          </w:tcPr>
          <w:p>
            <w:pPr>
              <w:jc w:val="left"/>
              <w:rPr>
                <w:color w:val="auto"/>
                <w:sz w:val="24"/>
              </w:rPr>
            </w:pPr>
            <w:r>
              <w:rPr>
                <w:color w:val="auto"/>
                <w:sz w:val="24"/>
              </w:rPr>
              <w:t>9.1</w:t>
            </w:r>
            <w:r>
              <w:rPr>
                <w:rFonts w:hint="eastAsia"/>
                <w:color w:val="auto"/>
                <w:sz w:val="24"/>
              </w:rPr>
              <w:t>柜体有漏液回收功能，地板中心设有集液槽，集液槽顶部采用</w:t>
            </w:r>
            <w:r>
              <w:rPr>
                <w:color w:val="auto"/>
                <w:sz w:val="24"/>
              </w:rPr>
              <w:t>PP</w:t>
            </w:r>
            <w:r>
              <w:rPr>
                <w:rFonts w:hint="eastAsia"/>
                <w:color w:val="auto"/>
                <w:sz w:val="24"/>
              </w:rPr>
              <w:t>漏液盖板，开有漏液孔，漏液可沿漏液孔流进集液槽；再由</w:t>
            </w:r>
            <w:r>
              <w:rPr>
                <w:color w:val="auto"/>
                <w:sz w:val="24"/>
              </w:rPr>
              <w:t>PP</w:t>
            </w:r>
            <w:r>
              <w:rPr>
                <w:rFonts w:hint="eastAsia"/>
                <w:color w:val="auto"/>
                <w:sz w:val="24"/>
              </w:rPr>
              <w:t>漏液管流到回收桶，进行漏液收集、处理。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32" w:hRule="atLeast"/>
          <w:tblHeader/>
        </w:trPr>
        <w:tc>
          <w:tcPr>
            <w:tcW w:w="698" w:type="dxa"/>
            <w:vMerge w:val="restart"/>
            <w:shd w:val="clear" w:color="auto" w:fill="B8CCE4"/>
            <w:vAlign w:val="center"/>
          </w:tcPr>
          <w:p>
            <w:pPr>
              <w:pStyle w:val="129"/>
              <w:numPr>
                <w:ilvl w:val="0"/>
                <w:numId w:val="63"/>
              </w:numPr>
              <w:spacing w:line="360" w:lineRule="auto"/>
              <w:ind w:firstLineChars="0"/>
              <w:jc w:val="center"/>
              <w:rPr>
                <w:color w:val="auto"/>
              </w:rPr>
            </w:pPr>
          </w:p>
        </w:tc>
        <w:tc>
          <w:tcPr>
            <w:tcW w:w="1377" w:type="dxa"/>
            <w:vMerge w:val="restart"/>
            <w:vAlign w:val="center"/>
          </w:tcPr>
          <w:p>
            <w:pPr>
              <w:spacing w:line="360" w:lineRule="auto"/>
              <w:jc w:val="center"/>
              <w:rPr>
                <w:b/>
                <w:color w:val="auto"/>
                <w:sz w:val="24"/>
              </w:rPr>
            </w:pPr>
            <w:r>
              <w:rPr>
                <w:rFonts w:hint="eastAsia"/>
                <w:b/>
                <w:color w:val="auto"/>
                <w:sz w:val="24"/>
              </w:rPr>
              <w:t>自动消防灭火系统及安全措施</w:t>
            </w:r>
          </w:p>
        </w:tc>
        <w:tc>
          <w:tcPr>
            <w:tcW w:w="7905" w:type="dxa"/>
            <w:vAlign w:val="center"/>
          </w:tcPr>
          <w:p>
            <w:pPr>
              <w:jc w:val="left"/>
              <w:rPr>
                <w:color w:val="auto"/>
                <w:sz w:val="24"/>
              </w:rPr>
            </w:pPr>
            <w:r>
              <w:rPr>
                <w:color w:val="auto"/>
                <w:sz w:val="24"/>
              </w:rPr>
              <w:t>10.1</w:t>
            </w:r>
            <w:r>
              <w:rPr>
                <w:rFonts w:hint="eastAsia"/>
                <w:color w:val="auto"/>
                <w:sz w:val="24"/>
              </w:rPr>
              <w:t>柜体内顶部配有自动灭火装置</w:t>
            </w:r>
            <w:r>
              <w:rPr>
                <w:color w:val="auto"/>
                <w:sz w:val="24"/>
              </w:rPr>
              <w:t>8</w:t>
            </w:r>
            <w:r>
              <w:rPr>
                <w:rFonts w:hint="eastAsia"/>
                <w:color w:val="auto"/>
                <w:sz w:val="24"/>
              </w:rPr>
              <w:t>套，手投式灭火装置</w:t>
            </w:r>
            <w:r>
              <w:rPr>
                <w:color w:val="auto"/>
                <w:sz w:val="24"/>
              </w:rPr>
              <w:t>2</w:t>
            </w:r>
            <w:r>
              <w:rPr>
                <w:rFonts w:hint="eastAsia"/>
                <w:color w:val="auto"/>
                <w:sz w:val="24"/>
              </w:rPr>
              <w:t>套，覆盖整个柜体内部，当室内温度达到</w:t>
            </w:r>
            <w:r>
              <w:rPr>
                <w:color w:val="auto"/>
                <w:sz w:val="24"/>
              </w:rPr>
              <w:t>68</w:t>
            </w:r>
            <w:r>
              <w:rPr>
                <w:rFonts w:hint="eastAsia"/>
                <w:color w:val="auto"/>
                <w:sz w:val="24"/>
              </w:rPr>
              <w:t>℃时（响应温度可修改为</w:t>
            </w:r>
            <w:r>
              <w:rPr>
                <w:color w:val="auto"/>
                <w:sz w:val="24"/>
              </w:rPr>
              <w:t>90</w:t>
            </w:r>
            <w:r>
              <w:rPr>
                <w:rFonts w:hint="eastAsia"/>
                <w:color w:val="auto"/>
                <w:sz w:val="24"/>
              </w:rPr>
              <w:t>℃），感温元件自动爆破，自动灭火装置可自动喷出灭火药剂，灭火药剂自动喷放到防护区实施灭火，灭火范围覆盖整个柜体内部；在紧急情况下也可以人工投入灭火；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19" w:hRule="atLeast"/>
          <w:tblHeader/>
        </w:trPr>
        <w:tc>
          <w:tcPr>
            <w:tcW w:w="698" w:type="dxa"/>
            <w:vMerge w:val="continue"/>
            <w:shd w:val="clear" w:color="auto" w:fill="B8CCE4"/>
            <w:vAlign w:val="center"/>
          </w:tcPr>
          <w:p>
            <w:pPr>
              <w:pStyle w:val="129"/>
              <w:numPr>
                <w:ilvl w:val="0"/>
                <w:numId w:val="63"/>
              </w:numPr>
              <w:spacing w:line="360" w:lineRule="auto"/>
              <w:ind w:firstLineChars="0"/>
              <w:jc w:val="center"/>
              <w:rPr>
                <w:color w:val="auto"/>
              </w:rPr>
            </w:pPr>
          </w:p>
        </w:tc>
        <w:tc>
          <w:tcPr>
            <w:tcW w:w="1377" w:type="dxa"/>
            <w:vMerge w:val="continue"/>
            <w:vAlign w:val="center"/>
          </w:tcPr>
          <w:p>
            <w:pPr>
              <w:spacing w:line="360" w:lineRule="auto"/>
              <w:jc w:val="center"/>
              <w:rPr>
                <w:b/>
                <w:color w:val="auto"/>
                <w:sz w:val="24"/>
              </w:rPr>
            </w:pPr>
          </w:p>
        </w:tc>
        <w:tc>
          <w:tcPr>
            <w:tcW w:w="7905" w:type="dxa"/>
            <w:vAlign w:val="center"/>
          </w:tcPr>
          <w:p>
            <w:pPr>
              <w:jc w:val="left"/>
              <w:rPr>
                <w:color w:val="auto"/>
                <w:sz w:val="24"/>
              </w:rPr>
            </w:pPr>
            <w:r>
              <w:rPr>
                <w:color w:val="auto"/>
                <w:sz w:val="24"/>
              </w:rPr>
              <w:t>10.2</w:t>
            </w:r>
            <w:r>
              <w:rPr>
                <w:rFonts w:hint="eastAsia"/>
                <w:color w:val="auto"/>
                <w:sz w:val="24"/>
              </w:rPr>
              <w:t>柜体设有内部打开的紧急逃生门，并设有一键逃生功能，且装有应急照明灯和安全出口指示灯。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4" w:hRule="atLeast"/>
          <w:tblHeader/>
        </w:trPr>
        <w:tc>
          <w:tcPr>
            <w:tcW w:w="698" w:type="dxa"/>
            <w:vMerge w:val="continue"/>
            <w:shd w:val="clear" w:color="auto" w:fill="B8CCE4"/>
            <w:vAlign w:val="center"/>
          </w:tcPr>
          <w:p>
            <w:pPr>
              <w:pStyle w:val="129"/>
              <w:numPr>
                <w:ilvl w:val="0"/>
                <w:numId w:val="63"/>
              </w:numPr>
              <w:spacing w:line="360" w:lineRule="auto"/>
              <w:ind w:firstLineChars="0"/>
              <w:jc w:val="center"/>
              <w:rPr>
                <w:color w:val="auto"/>
              </w:rPr>
            </w:pPr>
          </w:p>
        </w:tc>
        <w:tc>
          <w:tcPr>
            <w:tcW w:w="1377" w:type="dxa"/>
            <w:vMerge w:val="continue"/>
            <w:vAlign w:val="center"/>
          </w:tcPr>
          <w:p>
            <w:pPr>
              <w:spacing w:line="360" w:lineRule="auto"/>
              <w:jc w:val="center"/>
              <w:rPr>
                <w:b/>
                <w:color w:val="auto"/>
                <w:sz w:val="24"/>
              </w:rPr>
            </w:pPr>
          </w:p>
        </w:tc>
        <w:tc>
          <w:tcPr>
            <w:tcW w:w="7905" w:type="dxa"/>
            <w:vAlign w:val="center"/>
          </w:tcPr>
          <w:p>
            <w:pPr>
              <w:jc w:val="left"/>
              <w:rPr>
                <w:color w:val="auto"/>
                <w:sz w:val="24"/>
              </w:rPr>
            </w:pPr>
            <w:r>
              <w:rPr>
                <w:color w:val="auto"/>
                <w:sz w:val="24"/>
              </w:rPr>
              <w:t>10.3</w:t>
            </w:r>
            <w:r>
              <w:rPr>
                <w:rFonts w:hint="eastAsia"/>
                <w:color w:val="auto"/>
                <w:sz w:val="24"/>
              </w:rPr>
              <w:t>柜体外侧消防柜内配有干粉灭火器</w:t>
            </w:r>
            <w:r>
              <w:rPr>
                <w:color w:val="auto"/>
                <w:sz w:val="24"/>
              </w:rPr>
              <w:t>2</w:t>
            </w:r>
            <w:r>
              <w:rPr>
                <w:rFonts w:hint="eastAsia"/>
                <w:color w:val="auto"/>
                <w:sz w:val="24"/>
              </w:rPr>
              <w:t>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2" w:hRule="atLeast"/>
          <w:tblHeader/>
        </w:trPr>
        <w:tc>
          <w:tcPr>
            <w:tcW w:w="698" w:type="dxa"/>
            <w:shd w:val="clear" w:color="auto" w:fill="B8CCE4"/>
            <w:vAlign w:val="center"/>
          </w:tcPr>
          <w:p>
            <w:pPr>
              <w:pStyle w:val="129"/>
              <w:numPr>
                <w:ilvl w:val="0"/>
                <w:numId w:val="63"/>
              </w:numPr>
              <w:spacing w:line="360" w:lineRule="auto"/>
              <w:ind w:firstLineChars="0"/>
              <w:jc w:val="center"/>
              <w:rPr>
                <w:color w:val="auto"/>
              </w:rPr>
            </w:pPr>
          </w:p>
        </w:tc>
        <w:tc>
          <w:tcPr>
            <w:tcW w:w="1377" w:type="dxa"/>
            <w:vAlign w:val="center"/>
          </w:tcPr>
          <w:p>
            <w:pPr>
              <w:spacing w:line="360" w:lineRule="auto"/>
              <w:jc w:val="center"/>
              <w:rPr>
                <w:b/>
                <w:color w:val="auto"/>
                <w:sz w:val="24"/>
              </w:rPr>
            </w:pPr>
            <w:r>
              <w:rPr>
                <w:rFonts w:hint="eastAsia"/>
                <w:b/>
                <w:color w:val="auto"/>
                <w:sz w:val="24"/>
              </w:rPr>
              <w:t>个人安全防护设施</w:t>
            </w:r>
          </w:p>
        </w:tc>
        <w:tc>
          <w:tcPr>
            <w:tcW w:w="7905" w:type="dxa"/>
            <w:vAlign w:val="center"/>
          </w:tcPr>
          <w:p>
            <w:pPr>
              <w:jc w:val="left"/>
              <w:rPr>
                <w:color w:val="auto"/>
                <w:sz w:val="24"/>
              </w:rPr>
            </w:pPr>
            <w:r>
              <w:rPr>
                <w:rFonts w:hint="eastAsia"/>
                <w:color w:val="auto"/>
                <w:sz w:val="24"/>
              </w:rPr>
              <w:t>柜体外侧配备内嵌式个人防护箱，箱内配备特种防护服、特种防护面具、防护手套、防护眼镜等个人防护用品，每种防护用品</w:t>
            </w:r>
            <w:r>
              <w:rPr>
                <w:color w:val="auto"/>
                <w:sz w:val="24"/>
              </w:rPr>
              <w:t>2</w:t>
            </w:r>
            <w:r>
              <w:rPr>
                <w:rFonts w:hint="eastAsia"/>
                <w:color w:val="auto"/>
                <w:sz w:val="24"/>
              </w:rP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79" w:hRule="atLeast"/>
          <w:tblHeader/>
        </w:trPr>
        <w:tc>
          <w:tcPr>
            <w:tcW w:w="698" w:type="dxa"/>
            <w:vMerge w:val="restart"/>
            <w:shd w:val="clear" w:color="auto" w:fill="B8CCE4"/>
            <w:vAlign w:val="center"/>
          </w:tcPr>
          <w:p>
            <w:pPr>
              <w:pStyle w:val="129"/>
              <w:numPr>
                <w:ilvl w:val="0"/>
                <w:numId w:val="63"/>
              </w:numPr>
              <w:spacing w:line="360" w:lineRule="auto"/>
              <w:ind w:firstLineChars="0"/>
              <w:jc w:val="center"/>
              <w:rPr>
                <w:color w:val="auto"/>
              </w:rPr>
            </w:pPr>
          </w:p>
        </w:tc>
        <w:tc>
          <w:tcPr>
            <w:tcW w:w="1377" w:type="dxa"/>
            <w:vMerge w:val="restart"/>
            <w:vAlign w:val="center"/>
          </w:tcPr>
          <w:p>
            <w:pPr>
              <w:spacing w:line="360" w:lineRule="auto"/>
              <w:jc w:val="center"/>
              <w:rPr>
                <w:b/>
                <w:color w:val="auto"/>
                <w:sz w:val="24"/>
              </w:rPr>
            </w:pPr>
            <w:r>
              <w:rPr>
                <w:rFonts w:hint="eastAsia"/>
                <w:b/>
                <w:color w:val="auto"/>
                <w:sz w:val="24"/>
              </w:rPr>
              <w:t>静电防护系统</w:t>
            </w:r>
          </w:p>
        </w:tc>
        <w:tc>
          <w:tcPr>
            <w:tcW w:w="7905" w:type="dxa"/>
            <w:vAlign w:val="center"/>
          </w:tcPr>
          <w:p>
            <w:pPr>
              <w:rPr>
                <w:color w:val="auto"/>
                <w:sz w:val="24"/>
              </w:rPr>
            </w:pPr>
            <w:r>
              <w:rPr>
                <w:color w:val="auto"/>
                <w:sz w:val="24"/>
              </w:rPr>
              <w:t>12.1</w:t>
            </w:r>
            <w:r>
              <w:rPr>
                <w:rFonts w:hint="eastAsia"/>
                <w:color w:val="auto"/>
                <w:sz w:val="24"/>
              </w:rPr>
              <w:t>柜体门口设置有防暴人体静电释放柱，与柜体主体连接，用于工作人员在进入前触摸，泄去其身体上所携带的静电荷；主电源接入处安装有独立的防雷击浪涌保护器，用于防范静电危害。提供人体静电释放柱防爆合格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19" w:hRule="atLeast"/>
          <w:tblHeader/>
        </w:trPr>
        <w:tc>
          <w:tcPr>
            <w:tcW w:w="698" w:type="dxa"/>
            <w:vMerge w:val="continue"/>
            <w:shd w:val="clear" w:color="auto" w:fill="B8CCE4"/>
            <w:vAlign w:val="center"/>
          </w:tcPr>
          <w:p>
            <w:pPr>
              <w:pStyle w:val="129"/>
              <w:numPr>
                <w:ilvl w:val="0"/>
                <w:numId w:val="63"/>
              </w:numPr>
              <w:spacing w:line="360" w:lineRule="auto"/>
              <w:ind w:firstLineChars="0"/>
              <w:jc w:val="center"/>
              <w:rPr>
                <w:color w:val="auto"/>
              </w:rPr>
            </w:pPr>
          </w:p>
        </w:tc>
        <w:tc>
          <w:tcPr>
            <w:tcW w:w="1377" w:type="dxa"/>
            <w:vMerge w:val="continue"/>
            <w:vAlign w:val="center"/>
          </w:tcPr>
          <w:p>
            <w:pPr>
              <w:spacing w:line="360" w:lineRule="auto"/>
              <w:jc w:val="center"/>
              <w:rPr>
                <w:b/>
                <w:color w:val="auto"/>
                <w:sz w:val="24"/>
              </w:rPr>
            </w:pPr>
          </w:p>
        </w:tc>
        <w:tc>
          <w:tcPr>
            <w:tcW w:w="7905" w:type="dxa"/>
            <w:vAlign w:val="center"/>
          </w:tcPr>
          <w:p>
            <w:pPr>
              <w:jc w:val="left"/>
              <w:rPr>
                <w:color w:val="auto"/>
                <w:sz w:val="24"/>
              </w:rPr>
            </w:pPr>
            <w:r>
              <w:rPr>
                <w:color w:val="auto"/>
                <w:sz w:val="24"/>
              </w:rPr>
              <w:t>12.2</w:t>
            </w:r>
            <w:r>
              <w:rPr>
                <w:rFonts w:hint="eastAsia"/>
                <w:color w:val="auto"/>
                <w:sz w:val="24"/>
              </w:rPr>
              <w:t>主电源接入处安装有独立的防雷击浪涌保护器，用于防范静电危害。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2" w:hRule="atLeast"/>
          <w:tblHeader/>
        </w:trPr>
        <w:tc>
          <w:tcPr>
            <w:tcW w:w="698" w:type="dxa"/>
            <w:vMerge w:val="restart"/>
            <w:shd w:val="clear" w:color="auto" w:fill="B8CCE4"/>
            <w:vAlign w:val="center"/>
          </w:tcPr>
          <w:p>
            <w:pPr>
              <w:pStyle w:val="129"/>
              <w:numPr>
                <w:ilvl w:val="0"/>
                <w:numId w:val="63"/>
              </w:numPr>
              <w:spacing w:line="360" w:lineRule="auto"/>
              <w:ind w:firstLineChars="0"/>
              <w:jc w:val="center"/>
              <w:rPr>
                <w:color w:val="auto"/>
              </w:rPr>
            </w:pPr>
          </w:p>
        </w:tc>
        <w:tc>
          <w:tcPr>
            <w:tcW w:w="1377" w:type="dxa"/>
            <w:vMerge w:val="restart"/>
            <w:vAlign w:val="center"/>
          </w:tcPr>
          <w:p>
            <w:pPr>
              <w:spacing w:line="360" w:lineRule="auto"/>
              <w:jc w:val="center"/>
              <w:rPr>
                <w:color w:val="auto"/>
                <w:sz w:val="24"/>
              </w:rPr>
            </w:pPr>
            <w:r>
              <w:rPr>
                <w:rFonts w:hint="eastAsia"/>
                <w:b/>
                <w:color w:val="auto"/>
                <w:sz w:val="24"/>
              </w:rPr>
              <w:t>视频监控系统</w:t>
            </w:r>
          </w:p>
        </w:tc>
        <w:tc>
          <w:tcPr>
            <w:tcW w:w="7905" w:type="dxa"/>
            <w:vAlign w:val="center"/>
          </w:tcPr>
          <w:p>
            <w:pPr>
              <w:adjustRightInd w:val="0"/>
              <w:textAlignment w:val="baseline"/>
              <w:rPr>
                <w:color w:val="auto"/>
                <w:sz w:val="24"/>
              </w:rPr>
            </w:pPr>
            <w:r>
              <w:rPr>
                <w:color w:val="auto"/>
                <w:sz w:val="24"/>
              </w:rPr>
              <w:t>13.1</w:t>
            </w:r>
            <w:r>
              <w:rPr>
                <w:rFonts w:hint="eastAsia"/>
                <w:color w:val="auto"/>
                <w:sz w:val="24"/>
              </w:rPr>
              <w:t>柜内配置</w:t>
            </w:r>
            <w:r>
              <w:rPr>
                <w:color w:val="auto"/>
                <w:sz w:val="24"/>
              </w:rPr>
              <w:t>2</w:t>
            </w:r>
            <w:r>
              <w:rPr>
                <w:rFonts w:hint="eastAsia"/>
                <w:color w:val="auto"/>
                <w:sz w:val="24"/>
              </w:rPr>
              <w:t>个防爆视频监控摄像头，可无死角全覆盖监控；摄像头带有夜间红外监控功能，分辨率不小于</w:t>
            </w:r>
            <w:r>
              <w:rPr>
                <w:color w:val="auto"/>
                <w:sz w:val="24"/>
              </w:rPr>
              <w:t>960P</w:t>
            </w:r>
            <w:r>
              <w:rPr>
                <w:rFonts w:hint="eastAsia"/>
                <w:color w:val="auto"/>
                <w:sz w:val="24"/>
              </w:rPr>
              <w:t>；</w:t>
            </w: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19" w:hRule="atLeast"/>
          <w:tblHeader/>
        </w:trPr>
        <w:tc>
          <w:tcPr>
            <w:tcW w:w="698" w:type="dxa"/>
            <w:vMerge w:val="continue"/>
            <w:shd w:val="clear" w:color="auto" w:fill="B8CCE4"/>
            <w:vAlign w:val="center"/>
          </w:tcPr>
          <w:p>
            <w:pPr>
              <w:pStyle w:val="129"/>
              <w:numPr>
                <w:ilvl w:val="0"/>
                <w:numId w:val="63"/>
              </w:numPr>
              <w:spacing w:line="360" w:lineRule="auto"/>
              <w:ind w:firstLineChars="0"/>
              <w:jc w:val="center"/>
              <w:rPr>
                <w:color w:val="auto"/>
              </w:rPr>
            </w:pPr>
          </w:p>
        </w:tc>
        <w:tc>
          <w:tcPr>
            <w:tcW w:w="1377" w:type="dxa"/>
            <w:vMerge w:val="continue"/>
            <w:vAlign w:val="center"/>
          </w:tcPr>
          <w:p>
            <w:pPr>
              <w:spacing w:line="360" w:lineRule="auto"/>
              <w:jc w:val="center"/>
              <w:rPr>
                <w:color w:val="auto"/>
                <w:sz w:val="24"/>
              </w:rPr>
            </w:pPr>
          </w:p>
        </w:tc>
        <w:tc>
          <w:tcPr>
            <w:tcW w:w="7905" w:type="dxa"/>
            <w:vAlign w:val="center"/>
          </w:tcPr>
          <w:p>
            <w:pPr>
              <w:adjustRightInd w:val="0"/>
              <w:textAlignment w:val="baseline"/>
              <w:rPr>
                <w:color w:val="auto"/>
                <w:sz w:val="24"/>
              </w:rPr>
            </w:pPr>
            <w:r>
              <w:rPr>
                <w:color w:val="auto"/>
                <w:sz w:val="24"/>
              </w:rPr>
              <w:t>13.2</w:t>
            </w:r>
            <w:r>
              <w:rPr>
                <w:rFonts w:hint="eastAsia"/>
                <w:color w:val="auto"/>
                <w:sz w:val="24"/>
              </w:rPr>
              <w:t>柜外安装</w:t>
            </w:r>
            <w:r>
              <w:rPr>
                <w:color w:val="auto"/>
                <w:sz w:val="24"/>
              </w:rPr>
              <w:t>2</w:t>
            </w:r>
            <w:r>
              <w:rPr>
                <w:rFonts w:hint="eastAsia"/>
                <w:color w:val="auto"/>
                <w:sz w:val="24"/>
              </w:rPr>
              <w:t>只枪机摄像头，带有夜间红外监控功能，分辨率不小于</w:t>
            </w:r>
            <w:r>
              <w:rPr>
                <w:color w:val="auto"/>
                <w:sz w:val="24"/>
              </w:rPr>
              <w:t>960P</w:t>
            </w:r>
            <w:r>
              <w:rPr>
                <w:rFonts w:hint="eastAsia"/>
                <w:color w:val="auto"/>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5" w:hRule="atLeast"/>
          <w:tblHeader/>
        </w:trPr>
        <w:tc>
          <w:tcPr>
            <w:tcW w:w="698" w:type="dxa"/>
            <w:vMerge w:val="continue"/>
            <w:shd w:val="clear" w:color="auto" w:fill="B8CCE4"/>
            <w:vAlign w:val="center"/>
          </w:tcPr>
          <w:p>
            <w:pPr>
              <w:pStyle w:val="129"/>
              <w:numPr>
                <w:ilvl w:val="0"/>
                <w:numId w:val="63"/>
              </w:numPr>
              <w:spacing w:line="360" w:lineRule="auto"/>
              <w:ind w:firstLineChars="0"/>
              <w:jc w:val="center"/>
              <w:rPr>
                <w:color w:val="auto"/>
              </w:rPr>
            </w:pPr>
          </w:p>
        </w:tc>
        <w:tc>
          <w:tcPr>
            <w:tcW w:w="1377" w:type="dxa"/>
            <w:vMerge w:val="continue"/>
            <w:vAlign w:val="center"/>
          </w:tcPr>
          <w:p>
            <w:pPr>
              <w:spacing w:line="360" w:lineRule="auto"/>
              <w:jc w:val="center"/>
              <w:rPr>
                <w:color w:val="auto"/>
                <w:sz w:val="24"/>
              </w:rPr>
            </w:pPr>
          </w:p>
        </w:tc>
        <w:tc>
          <w:tcPr>
            <w:tcW w:w="7905" w:type="dxa"/>
            <w:vAlign w:val="center"/>
          </w:tcPr>
          <w:p>
            <w:pPr>
              <w:adjustRightInd w:val="0"/>
              <w:textAlignment w:val="baseline"/>
              <w:rPr>
                <w:color w:val="auto"/>
                <w:sz w:val="24"/>
              </w:rPr>
            </w:pPr>
            <w:r>
              <w:rPr>
                <w:color w:val="auto"/>
                <w:sz w:val="24"/>
              </w:rPr>
              <w:t xml:space="preserve">13.3 </w:t>
            </w:r>
            <w:r>
              <w:rPr>
                <w:rFonts w:hint="eastAsia"/>
                <w:color w:val="auto"/>
                <w:sz w:val="24"/>
              </w:rPr>
              <w:t>柜内外摄像头组成视频监控网络，采用</w:t>
            </w:r>
            <w:r>
              <w:rPr>
                <w:color w:val="auto"/>
                <w:sz w:val="24"/>
              </w:rPr>
              <w:t>POE</w:t>
            </w:r>
            <w:r>
              <w:rPr>
                <w:rFonts w:hint="eastAsia"/>
                <w:color w:val="auto"/>
                <w:sz w:val="24"/>
              </w:rPr>
              <w:t>组网；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91" w:hRule="atLeast"/>
          <w:tblHeader/>
        </w:trPr>
        <w:tc>
          <w:tcPr>
            <w:tcW w:w="698" w:type="dxa"/>
            <w:vMerge w:val="continue"/>
            <w:shd w:val="clear" w:color="auto" w:fill="B8CCE4"/>
            <w:vAlign w:val="center"/>
          </w:tcPr>
          <w:p>
            <w:pPr>
              <w:pStyle w:val="129"/>
              <w:numPr>
                <w:ilvl w:val="0"/>
                <w:numId w:val="63"/>
              </w:numPr>
              <w:spacing w:line="360" w:lineRule="auto"/>
              <w:ind w:firstLineChars="0"/>
              <w:jc w:val="center"/>
              <w:rPr>
                <w:color w:val="auto"/>
              </w:rPr>
            </w:pPr>
          </w:p>
        </w:tc>
        <w:tc>
          <w:tcPr>
            <w:tcW w:w="1377" w:type="dxa"/>
            <w:vMerge w:val="continue"/>
            <w:vAlign w:val="center"/>
          </w:tcPr>
          <w:p>
            <w:pPr>
              <w:spacing w:line="360" w:lineRule="auto"/>
              <w:jc w:val="center"/>
              <w:rPr>
                <w:color w:val="auto"/>
                <w:sz w:val="24"/>
              </w:rPr>
            </w:pPr>
          </w:p>
        </w:tc>
        <w:tc>
          <w:tcPr>
            <w:tcW w:w="7905" w:type="dxa"/>
            <w:vAlign w:val="center"/>
          </w:tcPr>
          <w:p>
            <w:pPr>
              <w:adjustRightInd w:val="0"/>
              <w:textAlignment w:val="baseline"/>
              <w:rPr>
                <w:color w:val="auto"/>
                <w:sz w:val="24"/>
              </w:rPr>
            </w:pPr>
            <w:r>
              <w:rPr>
                <w:color w:val="auto"/>
                <w:sz w:val="24"/>
              </w:rPr>
              <w:t>13.4</w:t>
            </w:r>
            <w:r>
              <w:rPr>
                <w:rFonts w:hint="eastAsia"/>
                <w:color w:val="auto"/>
                <w:sz w:val="24"/>
              </w:rPr>
              <w:t>监控留有网络端口，需与校内的总监控系统对接；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19" w:hRule="atLeast"/>
          <w:tblHeader/>
        </w:trPr>
        <w:tc>
          <w:tcPr>
            <w:tcW w:w="698" w:type="dxa"/>
            <w:vMerge w:val="continue"/>
            <w:shd w:val="clear" w:color="auto" w:fill="B8CCE4"/>
            <w:vAlign w:val="center"/>
          </w:tcPr>
          <w:p>
            <w:pPr>
              <w:pStyle w:val="129"/>
              <w:numPr>
                <w:ilvl w:val="0"/>
                <w:numId w:val="63"/>
              </w:numPr>
              <w:spacing w:line="360" w:lineRule="auto"/>
              <w:ind w:firstLineChars="0"/>
              <w:jc w:val="center"/>
              <w:rPr>
                <w:color w:val="auto"/>
              </w:rPr>
            </w:pPr>
          </w:p>
        </w:tc>
        <w:tc>
          <w:tcPr>
            <w:tcW w:w="1377" w:type="dxa"/>
            <w:vMerge w:val="continue"/>
            <w:vAlign w:val="center"/>
          </w:tcPr>
          <w:p>
            <w:pPr>
              <w:spacing w:line="360" w:lineRule="auto"/>
              <w:jc w:val="center"/>
              <w:rPr>
                <w:b/>
                <w:color w:val="auto"/>
                <w:sz w:val="24"/>
              </w:rPr>
            </w:pPr>
          </w:p>
        </w:tc>
        <w:tc>
          <w:tcPr>
            <w:tcW w:w="7905" w:type="dxa"/>
            <w:vAlign w:val="center"/>
          </w:tcPr>
          <w:p>
            <w:pPr>
              <w:adjustRightInd w:val="0"/>
              <w:snapToGrid w:val="0"/>
              <w:jc w:val="left"/>
              <w:rPr>
                <w:color w:val="auto"/>
                <w:sz w:val="24"/>
              </w:rPr>
            </w:pPr>
            <w:r>
              <w:rPr>
                <w:color w:val="auto"/>
                <w:sz w:val="24"/>
              </w:rPr>
              <w:t>13.5</w:t>
            </w:r>
            <w:r>
              <w:rPr>
                <w:rFonts w:hint="eastAsia"/>
                <w:color w:val="auto"/>
                <w:sz w:val="24"/>
              </w:rPr>
              <w:t>视频监控系统带存储记忆功能，可记录一个月以上监控数据，可以在手机、电脑上随时查看。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65" w:hRule="atLeast"/>
          <w:tblHeader/>
        </w:trPr>
        <w:tc>
          <w:tcPr>
            <w:tcW w:w="698" w:type="dxa"/>
            <w:vMerge w:val="restart"/>
            <w:shd w:val="clear" w:color="auto" w:fill="B8CCE4"/>
            <w:vAlign w:val="center"/>
          </w:tcPr>
          <w:p>
            <w:pPr>
              <w:pStyle w:val="129"/>
              <w:numPr>
                <w:ilvl w:val="0"/>
                <w:numId w:val="63"/>
              </w:numPr>
              <w:spacing w:line="360" w:lineRule="auto"/>
              <w:ind w:firstLineChars="0"/>
              <w:jc w:val="center"/>
              <w:rPr>
                <w:color w:val="auto"/>
              </w:rPr>
            </w:pPr>
          </w:p>
        </w:tc>
        <w:tc>
          <w:tcPr>
            <w:tcW w:w="1377" w:type="dxa"/>
            <w:vMerge w:val="restart"/>
            <w:vAlign w:val="center"/>
          </w:tcPr>
          <w:p>
            <w:pPr>
              <w:spacing w:line="360" w:lineRule="auto"/>
              <w:jc w:val="center"/>
              <w:rPr>
                <w:b/>
                <w:color w:val="auto"/>
                <w:sz w:val="24"/>
              </w:rPr>
            </w:pPr>
            <w:r>
              <w:rPr>
                <w:rFonts w:hint="eastAsia"/>
                <w:b/>
                <w:color w:val="auto"/>
                <w:sz w:val="24"/>
              </w:rPr>
              <w:t>避雷措施</w:t>
            </w:r>
          </w:p>
        </w:tc>
        <w:tc>
          <w:tcPr>
            <w:tcW w:w="7905" w:type="dxa"/>
            <w:vAlign w:val="center"/>
          </w:tcPr>
          <w:p>
            <w:pPr>
              <w:widowControl/>
              <w:jc w:val="left"/>
              <w:rPr>
                <w:color w:val="auto"/>
                <w:sz w:val="24"/>
              </w:rPr>
            </w:pPr>
            <w:r>
              <w:rPr>
                <w:color w:val="auto"/>
                <w:sz w:val="24"/>
              </w:rPr>
              <w:t>14.1</w:t>
            </w:r>
            <w:r>
              <w:rPr>
                <w:rFonts w:hint="eastAsia"/>
                <w:color w:val="auto"/>
                <w:sz w:val="24"/>
              </w:rPr>
              <w:t>主电源接入处安装有独立的防雷击浪涌保护器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2" w:hRule="atLeast"/>
          <w:tblHeader/>
        </w:trPr>
        <w:tc>
          <w:tcPr>
            <w:tcW w:w="698" w:type="dxa"/>
            <w:vMerge w:val="continue"/>
            <w:shd w:val="clear" w:color="auto" w:fill="B8CCE4"/>
            <w:vAlign w:val="center"/>
          </w:tcPr>
          <w:p>
            <w:pPr>
              <w:pStyle w:val="129"/>
              <w:numPr>
                <w:ilvl w:val="0"/>
                <w:numId w:val="63"/>
              </w:numPr>
              <w:spacing w:line="360" w:lineRule="auto"/>
              <w:ind w:firstLineChars="0"/>
              <w:jc w:val="center"/>
              <w:rPr>
                <w:color w:val="auto"/>
              </w:rPr>
            </w:pPr>
          </w:p>
        </w:tc>
        <w:tc>
          <w:tcPr>
            <w:tcW w:w="1377" w:type="dxa"/>
            <w:vMerge w:val="continue"/>
            <w:vAlign w:val="center"/>
          </w:tcPr>
          <w:p>
            <w:pPr>
              <w:spacing w:line="360" w:lineRule="auto"/>
              <w:jc w:val="center"/>
              <w:rPr>
                <w:b/>
                <w:color w:val="auto"/>
                <w:sz w:val="24"/>
              </w:rPr>
            </w:pPr>
          </w:p>
        </w:tc>
        <w:tc>
          <w:tcPr>
            <w:tcW w:w="7905" w:type="dxa"/>
            <w:vAlign w:val="center"/>
          </w:tcPr>
          <w:p>
            <w:pPr>
              <w:widowControl/>
              <w:jc w:val="left"/>
              <w:rPr>
                <w:color w:val="auto"/>
                <w:sz w:val="24"/>
              </w:rPr>
            </w:pPr>
            <w:r>
              <w:rPr>
                <w:color w:val="auto"/>
                <w:sz w:val="24"/>
              </w:rPr>
              <w:t>14.2</w:t>
            </w:r>
            <w:r>
              <w:rPr>
                <w:rFonts w:hint="eastAsia"/>
                <w:color w:val="auto"/>
                <w:sz w:val="24"/>
              </w:rPr>
              <w:t>柜体外装设独立避雷针或架空避雷线</w:t>
            </w:r>
            <w:r>
              <w:rPr>
                <w:color w:val="auto"/>
                <w:sz w:val="24"/>
              </w:rPr>
              <w:t>(</w:t>
            </w:r>
            <w:r>
              <w:rPr>
                <w:rFonts w:hint="eastAsia"/>
                <w:color w:val="auto"/>
                <w:sz w:val="24"/>
              </w:rPr>
              <w:t>网</w:t>
            </w:r>
            <w:r>
              <w:rPr>
                <w:color w:val="auto"/>
                <w:sz w:val="24"/>
              </w:rPr>
              <w:t>)</w:t>
            </w:r>
            <w:r>
              <w:rPr>
                <w:rFonts w:hint="eastAsia"/>
                <w:color w:val="auto"/>
                <w:sz w:val="24"/>
              </w:rPr>
              <w:t>使柜体和突出物体均处于接闪器的保护范围内，或通过合理方式达到整体避雷效果。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32" w:hRule="atLeast"/>
          <w:tblHeader/>
        </w:trPr>
        <w:tc>
          <w:tcPr>
            <w:tcW w:w="698" w:type="dxa"/>
            <w:shd w:val="clear" w:color="auto" w:fill="B8CCE4"/>
            <w:vAlign w:val="center"/>
          </w:tcPr>
          <w:p>
            <w:pPr>
              <w:pStyle w:val="129"/>
              <w:numPr>
                <w:ilvl w:val="0"/>
                <w:numId w:val="63"/>
              </w:numPr>
              <w:spacing w:line="360" w:lineRule="auto"/>
              <w:ind w:firstLineChars="0"/>
              <w:jc w:val="center"/>
              <w:rPr>
                <w:color w:val="auto"/>
              </w:rPr>
            </w:pPr>
          </w:p>
        </w:tc>
        <w:tc>
          <w:tcPr>
            <w:tcW w:w="1377" w:type="dxa"/>
            <w:vAlign w:val="center"/>
          </w:tcPr>
          <w:p>
            <w:pPr>
              <w:spacing w:line="360" w:lineRule="auto"/>
              <w:jc w:val="center"/>
              <w:rPr>
                <w:b/>
                <w:color w:val="auto"/>
                <w:sz w:val="24"/>
              </w:rPr>
            </w:pPr>
            <w:r>
              <w:rPr>
                <w:rFonts w:hint="eastAsia"/>
                <w:b/>
                <w:color w:val="auto"/>
                <w:sz w:val="24"/>
              </w:rPr>
              <w:t>安全标识、标牌与说明</w:t>
            </w:r>
          </w:p>
        </w:tc>
        <w:tc>
          <w:tcPr>
            <w:tcW w:w="7905" w:type="dxa"/>
            <w:vAlign w:val="center"/>
          </w:tcPr>
          <w:p>
            <w:pPr>
              <w:jc w:val="left"/>
              <w:rPr>
                <w:color w:val="auto"/>
                <w:sz w:val="24"/>
              </w:rPr>
            </w:pPr>
            <w:r>
              <w:rPr>
                <w:color w:val="auto"/>
                <w:sz w:val="24"/>
              </w:rPr>
              <w:t>15.1</w:t>
            </w:r>
            <w:r>
              <w:rPr>
                <w:rFonts w:hint="eastAsia"/>
                <w:color w:val="auto"/>
                <w:sz w:val="24"/>
              </w:rPr>
              <w:t>在明显位置张贴有安全警示标识，安全标识符合</w:t>
            </w:r>
            <w:r>
              <w:rPr>
                <w:color w:val="auto"/>
                <w:sz w:val="24"/>
              </w:rPr>
              <w:t>GHS</w:t>
            </w:r>
            <w:r>
              <w:rPr>
                <w:rFonts w:hint="eastAsia"/>
                <w:color w:val="auto"/>
                <w:sz w:val="24"/>
              </w:rPr>
              <w:t>《全球化学品统一分类和标签制度》规定（标识采用耐腐蚀材质）；柜内配备可以挂置各种用户自备铭牌的装置；设备具有使用说明书，其内容包括：控制系统使用说明，灭火器使用说明，储存柜架使用说明，逃生门使用说明，个人防护用品使用说明等。</w:t>
            </w:r>
          </w:p>
        </w:tc>
      </w:tr>
    </w:tbl>
    <w:p>
      <w:pPr>
        <w:jc w:val="center"/>
        <w:rPr>
          <w:b/>
          <w:color w:val="auto"/>
          <w:sz w:val="32"/>
        </w:rPr>
      </w:pPr>
      <w:r>
        <w:rPr>
          <w:rFonts w:hint="eastAsia"/>
          <w:b/>
          <w:color w:val="auto"/>
          <w:sz w:val="32"/>
        </w:rPr>
        <w:br w:type="page"/>
      </w:r>
    </w:p>
    <w:tbl>
      <w:tblPr>
        <w:tblStyle w:val="47"/>
        <w:tblW w:w="9980" w:type="dxa"/>
        <w:tblInd w:w="-73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98"/>
        <w:gridCol w:w="1377"/>
        <w:gridCol w:w="790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41" w:hRule="atLeast"/>
          <w:tblHeader/>
        </w:trPr>
        <w:tc>
          <w:tcPr>
            <w:tcW w:w="9980" w:type="dxa"/>
            <w:gridSpan w:val="3"/>
            <w:shd w:val="clear" w:color="auto" w:fill="DBE5F1"/>
            <w:vAlign w:val="center"/>
          </w:tcPr>
          <w:p>
            <w:pPr>
              <w:jc w:val="center"/>
              <w:rPr>
                <w:b/>
                <w:color w:val="auto"/>
                <w:sz w:val="24"/>
              </w:rPr>
            </w:pPr>
            <w:r>
              <w:rPr>
                <w:rFonts w:hint="eastAsia"/>
                <w:b/>
                <w:color w:val="auto"/>
                <w:sz w:val="32"/>
              </w:rPr>
              <w:t>（二）、物联网管控系统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19" w:hRule="atLeast"/>
          <w:tblHeader/>
        </w:trPr>
        <w:tc>
          <w:tcPr>
            <w:tcW w:w="698" w:type="dxa"/>
            <w:vMerge w:val="restart"/>
            <w:shd w:val="clear" w:color="auto" w:fill="B8CCE4"/>
            <w:vAlign w:val="center"/>
          </w:tcPr>
          <w:p>
            <w:pPr>
              <w:pStyle w:val="129"/>
              <w:numPr>
                <w:ilvl w:val="0"/>
                <w:numId w:val="63"/>
              </w:numPr>
              <w:spacing w:line="360" w:lineRule="auto"/>
              <w:ind w:firstLineChars="0"/>
              <w:jc w:val="center"/>
              <w:rPr>
                <w:color w:val="auto"/>
              </w:rPr>
            </w:pPr>
          </w:p>
        </w:tc>
        <w:tc>
          <w:tcPr>
            <w:tcW w:w="1377" w:type="dxa"/>
            <w:vMerge w:val="restart"/>
            <w:vAlign w:val="center"/>
          </w:tcPr>
          <w:p>
            <w:pPr>
              <w:spacing w:line="360" w:lineRule="auto"/>
              <w:jc w:val="center"/>
              <w:rPr>
                <w:b/>
                <w:color w:val="auto"/>
                <w:sz w:val="24"/>
              </w:rPr>
            </w:pPr>
            <w:r>
              <w:rPr>
                <w:rFonts w:hint="eastAsia"/>
                <w:b/>
                <w:color w:val="auto"/>
                <w:sz w:val="24"/>
              </w:rPr>
              <w:t>远程在线实时监控系统</w:t>
            </w:r>
          </w:p>
        </w:tc>
        <w:tc>
          <w:tcPr>
            <w:tcW w:w="7905" w:type="dxa"/>
            <w:vAlign w:val="center"/>
          </w:tcPr>
          <w:p>
            <w:pPr>
              <w:jc w:val="left"/>
              <w:rPr>
                <w:color w:val="auto"/>
                <w:sz w:val="24"/>
              </w:rPr>
            </w:pPr>
            <w:r>
              <w:rPr>
                <w:color w:val="auto"/>
                <w:sz w:val="24"/>
              </w:rPr>
              <w:t>16.1</w:t>
            </w:r>
            <w:r>
              <w:rPr>
                <w:rFonts w:hint="eastAsia"/>
                <w:color w:val="auto"/>
                <w:sz w:val="24"/>
              </w:rPr>
              <w:t>主板上配置</w:t>
            </w:r>
            <w:r>
              <w:rPr>
                <w:color w:val="auto"/>
                <w:sz w:val="24"/>
              </w:rPr>
              <w:t>850/900/1800/1900MHz</w:t>
            </w:r>
            <w:r>
              <w:rPr>
                <w:rFonts w:hint="eastAsia"/>
                <w:color w:val="auto"/>
                <w:sz w:val="24"/>
              </w:rPr>
              <w:t>四频数据通信模块。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85" w:hRule="atLeast"/>
          <w:tblHeader/>
        </w:trPr>
        <w:tc>
          <w:tcPr>
            <w:tcW w:w="698" w:type="dxa"/>
            <w:vMerge w:val="continue"/>
            <w:shd w:val="clear" w:color="auto" w:fill="B8CCE4"/>
            <w:vAlign w:val="center"/>
          </w:tcPr>
          <w:p>
            <w:pPr>
              <w:pStyle w:val="129"/>
              <w:numPr>
                <w:ilvl w:val="0"/>
                <w:numId w:val="63"/>
              </w:numPr>
              <w:spacing w:line="360" w:lineRule="auto"/>
              <w:ind w:firstLineChars="0"/>
              <w:jc w:val="center"/>
              <w:rPr>
                <w:color w:val="auto"/>
              </w:rPr>
            </w:pPr>
          </w:p>
        </w:tc>
        <w:tc>
          <w:tcPr>
            <w:tcW w:w="1377" w:type="dxa"/>
            <w:vMerge w:val="continue"/>
            <w:vAlign w:val="center"/>
          </w:tcPr>
          <w:p>
            <w:pPr>
              <w:spacing w:line="360" w:lineRule="auto"/>
              <w:jc w:val="center"/>
              <w:rPr>
                <w:b/>
                <w:color w:val="auto"/>
                <w:sz w:val="24"/>
              </w:rPr>
            </w:pPr>
          </w:p>
        </w:tc>
        <w:tc>
          <w:tcPr>
            <w:tcW w:w="7905" w:type="dxa"/>
            <w:vAlign w:val="center"/>
          </w:tcPr>
          <w:p>
            <w:pPr>
              <w:jc w:val="left"/>
              <w:rPr>
                <w:color w:val="auto"/>
                <w:sz w:val="24"/>
              </w:rPr>
            </w:pPr>
            <w:r>
              <w:rPr>
                <w:color w:val="auto"/>
                <w:sz w:val="24"/>
              </w:rPr>
              <w:t>16.2</w:t>
            </w:r>
            <w:r>
              <w:rPr>
                <w:rFonts w:hint="eastAsia"/>
                <w:color w:val="auto"/>
                <w:sz w:val="24"/>
              </w:rPr>
              <w:t>提供远程云监测服务，开通云监测服务后，数据通信模块将暂存柜系统的各项参数发送到专有云服务平台，云监测系统</w:t>
            </w:r>
            <w:r>
              <w:rPr>
                <w:color w:val="auto"/>
                <w:sz w:val="24"/>
              </w:rPr>
              <w:t>24</w:t>
            </w:r>
            <w:r>
              <w:rPr>
                <w:rFonts w:hint="eastAsia"/>
                <w:color w:val="auto"/>
                <w:sz w:val="24"/>
              </w:rPr>
              <w:t>小时远程监测暂存柜系统的各项参数指标，当达到设定值时，云监测系统会自动发送短信通知提醒客户注意，更当温度或者可燃气体浓度超过设定安全值时，控制系统还会通过语音电话等方式向用户发送警报通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5" w:hRule="atLeast"/>
          <w:tblHeader/>
        </w:trPr>
        <w:tc>
          <w:tcPr>
            <w:tcW w:w="698" w:type="dxa"/>
            <w:vMerge w:val="restart"/>
            <w:shd w:val="clear" w:color="auto" w:fill="B8CCE4"/>
            <w:vAlign w:val="center"/>
          </w:tcPr>
          <w:p>
            <w:pPr>
              <w:pStyle w:val="129"/>
              <w:numPr>
                <w:ilvl w:val="0"/>
                <w:numId w:val="63"/>
              </w:numPr>
              <w:spacing w:line="360" w:lineRule="auto"/>
              <w:ind w:firstLineChars="0"/>
              <w:jc w:val="center"/>
              <w:rPr>
                <w:color w:val="auto"/>
              </w:rPr>
            </w:pPr>
          </w:p>
        </w:tc>
        <w:tc>
          <w:tcPr>
            <w:tcW w:w="1377" w:type="dxa"/>
            <w:vMerge w:val="restart"/>
            <w:vAlign w:val="center"/>
          </w:tcPr>
          <w:p>
            <w:pPr>
              <w:spacing w:line="360" w:lineRule="auto"/>
              <w:jc w:val="center"/>
              <w:rPr>
                <w:color w:val="auto"/>
                <w:sz w:val="24"/>
              </w:rPr>
            </w:pPr>
            <w:r>
              <w:rPr>
                <w:rStyle w:val="40"/>
                <w:rFonts w:hint="eastAsia" w:ascii="新宋体" w:hAnsi="新宋体" w:eastAsia="新宋体"/>
                <w:color w:val="auto"/>
                <w:sz w:val="24"/>
              </w:rPr>
              <w:t>云端后台管理系统</w:t>
            </w:r>
          </w:p>
        </w:tc>
        <w:tc>
          <w:tcPr>
            <w:tcW w:w="7905" w:type="dxa"/>
            <w:vAlign w:val="center"/>
          </w:tcPr>
          <w:p>
            <w:pPr>
              <w:jc w:val="left"/>
              <w:rPr>
                <w:color w:val="auto"/>
                <w:sz w:val="24"/>
              </w:rPr>
            </w:pPr>
            <w:r>
              <w:rPr>
                <w:color w:val="auto"/>
                <w:sz w:val="24"/>
              </w:rPr>
              <w:t>17.1</w:t>
            </w:r>
            <w:r>
              <w:rPr>
                <w:rFonts w:hint="eastAsia"/>
                <w:color w:val="auto"/>
                <w:sz w:val="24"/>
              </w:rPr>
              <w:t>用户可通过</w:t>
            </w:r>
            <w:r>
              <w:rPr>
                <w:color w:val="auto"/>
                <w:sz w:val="24"/>
              </w:rPr>
              <w:t>PC</w:t>
            </w:r>
            <w:r>
              <w:rPr>
                <w:rFonts w:hint="eastAsia"/>
                <w:color w:val="auto"/>
                <w:sz w:val="24"/>
              </w:rPr>
              <w:t>或移动设备登陆云端后台管理系统，对实验室废弃物暂存柜系统内各电气设备进行远程设置（开启或关闭）、运行操作（各电器设备阈值设置）和远程管理等。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32" w:hRule="atLeast"/>
          <w:tblHeader/>
        </w:trPr>
        <w:tc>
          <w:tcPr>
            <w:tcW w:w="698" w:type="dxa"/>
            <w:vMerge w:val="continue"/>
            <w:shd w:val="clear" w:color="auto" w:fill="B8CCE4"/>
            <w:vAlign w:val="center"/>
          </w:tcPr>
          <w:p>
            <w:pPr>
              <w:pStyle w:val="129"/>
              <w:numPr>
                <w:ilvl w:val="0"/>
                <w:numId w:val="63"/>
              </w:numPr>
              <w:spacing w:line="360" w:lineRule="auto"/>
              <w:ind w:firstLineChars="0"/>
              <w:jc w:val="center"/>
              <w:rPr>
                <w:color w:val="auto"/>
              </w:rPr>
            </w:pPr>
          </w:p>
        </w:tc>
        <w:tc>
          <w:tcPr>
            <w:tcW w:w="1377" w:type="dxa"/>
            <w:vMerge w:val="continue"/>
            <w:vAlign w:val="center"/>
          </w:tcPr>
          <w:p>
            <w:pPr>
              <w:spacing w:line="360" w:lineRule="auto"/>
              <w:jc w:val="center"/>
              <w:rPr>
                <w:rStyle w:val="40"/>
                <w:rFonts w:ascii="新宋体" w:hAnsi="新宋体" w:eastAsia="新宋体"/>
                <w:color w:val="auto"/>
                <w:sz w:val="24"/>
              </w:rPr>
            </w:pPr>
          </w:p>
        </w:tc>
        <w:tc>
          <w:tcPr>
            <w:tcW w:w="7905" w:type="dxa"/>
            <w:vAlign w:val="center"/>
          </w:tcPr>
          <w:p>
            <w:pPr>
              <w:jc w:val="left"/>
              <w:rPr>
                <w:color w:val="auto"/>
                <w:sz w:val="24"/>
              </w:rPr>
            </w:pPr>
            <w:r>
              <w:rPr>
                <w:color w:val="auto"/>
                <w:sz w:val="24"/>
              </w:rPr>
              <w:t>17.2</w:t>
            </w:r>
            <w:r>
              <w:rPr>
                <w:rFonts w:hint="eastAsia"/>
                <w:color w:val="auto"/>
                <w:sz w:val="24"/>
              </w:rPr>
              <w:t>生产厂家也可通过云端后台管理系统，对出厂的每套设备提供远程在线维护及售后检修。</w:t>
            </w:r>
          </w:p>
          <w:p>
            <w:pPr>
              <w:jc w:val="left"/>
              <w:rPr>
                <w:rFonts w:ascii="宋体"/>
                <w:b/>
                <w:color w:val="auto"/>
                <w:sz w:val="24"/>
              </w:rPr>
            </w:pPr>
            <w:r>
              <w:rPr>
                <w:color w:val="auto"/>
                <w:sz w:val="24"/>
              </w:rPr>
              <w:t>17.3</w:t>
            </w:r>
            <w:r>
              <w:rPr>
                <w:rFonts w:hint="eastAsia"/>
                <w:color w:val="auto"/>
                <w:sz w:val="24"/>
              </w:rPr>
              <w:t>实现了产品“控制管理”和“企业管理”的技术效果。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0" w:hRule="atLeast"/>
          <w:tblHeader/>
        </w:trPr>
        <w:tc>
          <w:tcPr>
            <w:tcW w:w="9980" w:type="dxa"/>
            <w:gridSpan w:val="3"/>
            <w:shd w:val="clear" w:color="auto" w:fill="DBE5F1"/>
            <w:vAlign w:val="center"/>
          </w:tcPr>
          <w:p>
            <w:pPr>
              <w:jc w:val="center"/>
              <w:rPr>
                <w:color w:val="auto"/>
                <w:sz w:val="24"/>
              </w:rPr>
            </w:pPr>
            <w:r>
              <w:rPr>
                <w:rFonts w:hint="eastAsia"/>
                <w:b/>
                <w:color w:val="auto"/>
                <w:sz w:val="32"/>
              </w:rPr>
              <w:t>（三）、基础设施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32" w:hRule="atLeast"/>
          <w:tblHeader/>
        </w:trPr>
        <w:tc>
          <w:tcPr>
            <w:tcW w:w="698" w:type="dxa"/>
            <w:vMerge w:val="restart"/>
            <w:shd w:val="clear" w:color="auto" w:fill="B8CCE4"/>
            <w:vAlign w:val="center"/>
          </w:tcPr>
          <w:p>
            <w:pPr>
              <w:pStyle w:val="129"/>
              <w:numPr>
                <w:ilvl w:val="0"/>
                <w:numId w:val="63"/>
              </w:numPr>
              <w:spacing w:line="360" w:lineRule="auto"/>
              <w:ind w:firstLineChars="0"/>
              <w:jc w:val="center"/>
              <w:rPr>
                <w:color w:val="auto"/>
              </w:rPr>
            </w:pPr>
          </w:p>
        </w:tc>
        <w:tc>
          <w:tcPr>
            <w:tcW w:w="1377" w:type="dxa"/>
            <w:vMerge w:val="restart"/>
            <w:vAlign w:val="center"/>
          </w:tcPr>
          <w:p>
            <w:pPr>
              <w:spacing w:line="360" w:lineRule="auto"/>
              <w:jc w:val="center"/>
              <w:rPr>
                <w:b/>
                <w:color w:val="auto"/>
                <w:sz w:val="24"/>
              </w:rPr>
            </w:pPr>
            <w:r>
              <w:rPr>
                <w:rFonts w:hint="eastAsia"/>
                <w:b/>
                <w:color w:val="auto"/>
                <w:sz w:val="24"/>
              </w:rPr>
              <w:t>基座建设</w:t>
            </w:r>
          </w:p>
        </w:tc>
        <w:tc>
          <w:tcPr>
            <w:tcW w:w="7905" w:type="dxa"/>
            <w:vAlign w:val="center"/>
          </w:tcPr>
          <w:p>
            <w:pPr>
              <w:jc w:val="left"/>
              <w:rPr>
                <w:color w:val="auto"/>
                <w:sz w:val="24"/>
              </w:rPr>
            </w:pPr>
            <w:r>
              <w:rPr>
                <w:color w:val="auto"/>
                <w:sz w:val="24"/>
              </w:rPr>
              <w:t>18.1</w:t>
            </w:r>
            <w:r>
              <w:rPr>
                <w:rFonts w:hint="eastAsia"/>
                <w:color w:val="auto"/>
                <w:sz w:val="24"/>
              </w:rPr>
              <w:t>提供地坪等配套基础设施相关必要图纸和技术指导保证地坪建设符合暂存柜稳固、供水供电、导流、储存漏液、接地等要求。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5" w:hRule="atLeast"/>
          <w:tblHeader/>
        </w:trPr>
        <w:tc>
          <w:tcPr>
            <w:tcW w:w="698" w:type="dxa"/>
            <w:vMerge w:val="continue"/>
            <w:shd w:val="clear" w:color="auto" w:fill="B8CCE4"/>
            <w:vAlign w:val="center"/>
          </w:tcPr>
          <w:p>
            <w:pPr>
              <w:pStyle w:val="129"/>
              <w:numPr>
                <w:ilvl w:val="0"/>
                <w:numId w:val="63"/>
              </w:numPr>
              <w:spacing w:line="360" w:lineRule="auto"/>
              <w:ind w:firstLineChars="0"/>
              <w:jc w:val="center"/>
              <w:rPr>
                <w:color w:val="auto"/>
              </w:rPr>
            </w:pPr>
          </w:p>
        </w:tc>
        <w:tc>
          <w:tcPr>
            <w:tcW w:w="1377" w:type="dxa"/>
            <w:vMerge w:val="continue"/>
            <w:vAlign w:val="center"/>
          </w:tcPr>
          <w:p>
            <w:pPr>
              <w:spacing w:line="360" w:lineRule="auto"/>
              <w:jc w:val="center"/>
              <w:rPr>
                <w:b/>
                <w:color w:val="auto"/>
                <w:sz w:val="24"/>
              </w:rPr>
            </w:pPr>
          </w:p>
        </w:tc>
        <w:tc>
          <w:tcPr>
            <w:tcW w:w="7905" w:type="dxa"/>
            <w:vAlign w:val="center"/>
          </w:tcPr>
          <w:p>
            <w:pPr>
              <w:jc w:val="left"/>
              <w:rPr>
                <w:color w:val="auto"/>
                <w:sz w:val="24"/>
              </w:rPr>
            </w:pPr>
            <w:r>
              <w:rPr>
                <w:rFonts w:hint="eastAsia"/>
                <w:color w:val="auto"/>
                <w:sz w:val="24"/>
              </w:rPr>
              <w:t>采用钢筋混凝土抬高</w:t>
            </w:r>
            <w:r>
              <w:rPr>
                <w:color w:val="auto"/>
                <w:sz w:val="24"/>
              </w:rPr>
              <w:t>20CM</w:t>
            </w:r>
            <w:r>
              <w:rPr>
                <w:rFonts w:hint="eastAsia"/>
                <w:color w:val="auto"/>
                <w:sz w:val="24"/>
              </w:rPr>
              <w:t>，尺寸大于柜体长宽各约</w:t>
            </w:r>
            <w:r>
              <w:rPr>
                <w:color w:val="auto"/>
                <w:sz w:val="24"/>
              </w:rPr>
              <w:t>1M</w:t>
            </w:r>
            <w:r>
              <w:rPr>
                <w:rFonts w:hint="eastAsia"/>
                <w:color w:val="auto"/>
                <w:sz w:val="24"/>
              </w:rPr>
              <w:t>，地下预埋</w:t>
            </w:r>
            <w:r>
              <w:rPr>
                <w:color w:val="auto"/>
                <w:sz w:val="24"/>
              </w:rPr>
              <w:t>6</w:t>
            </w:r>
            <w:r>
              <w:rPr>
                <w:rFonts w:hint="eastAsia"/>
                <w:color w:val="auto"/>
                <w:sz w:val="24"/>
              </w:rPr>
              <w:t>分上水管及</w:t>
            </w:r>
            <w:r>
              <w:rPr>
                <w:color w:val="auto"/>
                <w:sz w:val="24"/>
              </w:rPr>
              <w:t>10KW</w:t>
            </w:r>
            <w:r>
              <w:rPr>
                <w:rFonts w:hint="eastAsia"/>
                <w:color w:val="auto"/>
                <w:sz w:val="24"/>
              </w:rPr>
              <w:t>以上、线径</w:t>
            </w:r>
            <w:r>
              <w:rPr>
                <w:color w:val="auto"/>
                <w:sz w:val="24"/>
              </w:rPr>
              <w:t>6</w:t>
            </w:r>
            <w:r>
              <w:rPr>
                <w:rFonts w:hint="eastAsia"/>
                <w:color w:val="auto"/>
                <w:sz w:val="24"/>
              </w:rPr>
              <w:t>平方电缆线，备留</w:t>
            </w:r>
            <w:r>
              <w:rPr>
                <w:color w:val="auto"/>
                <w:sz w:val="24"/>
              </w:rPr>
              <w:t>1</w:t>
            </w:r>
            <w:r>
              <w:rPr>
                <w:rFonts w:hint="eastAsia"/>
                <w:color w:val="auto"/>
                <w:sz w:val="24"/>
              </w:rPr>
              <w:t>个废液坑，用于存放</w:t>
            </w:r>
            <w:r>
              <w:rPr>
                <w:color w:val="auto"/>
                <w:sz w:val="24"/>
              </w:rPr>
              <w:t>1</w:t>
            </w:r>
            <w:r>
              <w:rPr>
                <w:rFonts w:hint="eastAsia"/>
                <w:color w:val="auto"/>
                <w:sz w:val="24"/>
              </w:rPr>
              <w:t>个耐酸碱腐蚀</w:t>
            </w:r>
            <w:r>
              <w:rPr>
                <w:color w:val="auto"/>
                <w:sz w:val="24"/>
              </w:rPr>
              <w:t>PP</w:t>
            </w:r>
            <w:r>
              <w:rPr>
                <w:rFonts w:hint="eastAsia"/>
                <w:color w:val="auto"/>
                <w:sz w:val="24"/>
              </w:rPr>
              <w:t>材质废液收集桶；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19" w:hRule="atLeast"/>
          <w:tblHeader/>
        </w:trPr>
        <w:tc>
          <w:tcPr>
            <w:tcW w:w="698" w:type="dxa"/>
            <w:shd w:val="clear" w:color="auto" w:fill="B8CCE4"/>
            <w:vAlign w:val="center"/>
          </w:tcPr>
          <w:p>
            <w:pPr>
              <w:pStyle w:val="129"/>
              <w:numPr>
                <w:ilvl w:val="0"/>
                <w:numId w:val="63"/>
              </w:numPr>
              <w:spacing w:line="360" w:lineRule="auto"/>
              <w:ind w:firstLineChars="0"/>
              <w:jc w:val="center"/>
              <w:rPr>
                <w:color w:val="auto"/>
              </w:rPr>
            </w:pPr>
          </w:p>
        </w:tc>
        <w:tc>
          <w:tcPr>
            <w:tcW w:w="1377" w:type="dxa"/>
            <w:vAlign w:val="center"/>
          </w:tcPr>
          <w:p>
            <w:pPr>
              <w:spacing w:line="360" w:lineRule="auto"/>
              <w:jc w:val="center"/>
              <w:rPr>
                <w:b/>
                <w:color w:val="auto"/>
                <w:sz w:val="24"/>
              </w:rPr>
            </w:pPr>
            <w:r>
              <w:rPr>
                <w:rFonts w:hint="eastAsia"/>
                <w:b/>
                <w:color w:val="auto"/>
                <w:sz w:val="24"/>
              </w:rPr>
              <w:t>顶棚</w:t>
            </w:r>
          </w:p>
        </w:tc>
        <w:tc>
          <w:tcPr>
            <w:tcW w:w="7905" w:type="dxa"/>
            <w:vAlign w:val="center"/>
          </w:tcPr>
          <w:p>
            <w:pPr>
              <w:jc w:val="left"/>
              <w:rPr>
                <w:color w:val="auto"/>
                <w:sz w:val="24"/>
              </w:rPr>
            </w:pPr>
            <w:r>
              <w:rPr>
                <w:color w:val="auto"/>
                <w:sz w:val="24"/>
              </w:rPr>
              <w:t>19.1</w:t>
            </w:r>
            <w:r>
              <w:rPr>
                <w:rFonts w:hint="eastAsia"/>
                <w:color w:val="auto"/>
                <w:sz w:val="24"/>
              </w:rPr>
              <w:t>采用不锈钢立柱，离地高度</w:t>
            </w:r>
            <w:r>
              <w:rPr>
                <w:color w:val="auto"/>
                <w:sz w:val="24"/>
              </w:rPr>
              <w:t>&gt;4.5m,</w:t>
            </w:r>
            <w:r>
              <w:rPr>
                <w:rFonts w:hint="eastAsia"/>
                <w:color w:val="auto"/>
                <w:sz w:val="24"/>
              </w:rPr>
              <w:t>棚顶为镀锌彩钢板双向斜面设计，便于排水；其投影与基座一致；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38" w:hRule="atLeast"/>
          <w:tblHeader/>
        </w:trPr>
        <w:tc>
          <w:tcPr>
            <w:tcW w:w="698" w:type="dxa"/>
            <w:shd w:val="clear" w:color="auto" w:fill="B8CCE4"/>
            <w:vAlign w:val="center"/>
          </w:tcPr>
          <w:p>
            <w:pPr>
              <w:pStyle w:val="129"/>
              <w:numPr>
                <w:ilvl w:val="0"/>
                <w:numId w:val="63"/>
              </w:numPr>
              <w:spacing w:line="360" w:lineRule="auto"/>
              <w:ind w:firstLineChars="0"/>
              <w:jc w:val="center"/>
              <w:rPr>
                <w:color w:val="auto"/>
              </w:rPr>
            </w:pPr>
          </w:p>
        </w:tc>
        <w:tc>
          <w:tcPr>
            <w:tcW w:w="1377" w:type="dxa"/>
            <w:vAlign w:val="center"/>
          </w:tcPr>
          <w:p>
            <w:pPr>
              <w:spacing w:line="360" w:lineRule="auto"/>
              <w:jc w:val="center"/>
              <w:rPr>
                <w:b/>
                <w:color w:val="auto"/>
                <w:sz w:val="24"/>
              </w:rPr>
            </w:pPr>
            <w:r>
              <w:rPr>
                <w:rFonts w:hint="eastAsia"/>
                <w:b/>
                <w:color w:val="auto"/>
                <w:sz w:val="24"/>
              </w:rPr>
              <w:t>安全护栏</w:t>
            </w:r>
          </w:p>
        </w:tc>
        <w:tc>
          <w:tcPr>
            <w:tcW w:w="7905" w:type="dxa"/>
            <w:vAlign w:val="center"/>
          </w:tcPr>
          <w:p>
            <w:pPr>
              <w:jc w:val="left"/>
              <w:rPr>
                <w:color w:val="auto"/>
                <w:sz w:val="24"/>
              </w:rPr>
            </w:pPr>
            <w:r>
              <w:rPr>
                <w:color w:val="auto"/>
                <w:sz w:val="24"/>
              </w:rPr>
              <w:t>20.1</w:t>
            </w:r>
            <w:r>
              <w:rPr>
                <w:rFonts w:hint="eastAsia"/>
                <w:color w:val="auto"/>
                <w:sz w:val="24"/>
              </w:rPr>
              <w:t>围栏高度</w:t>
            </w:r>
            <w:r>
              <w:rPr>
                <w:color w:val="auto"/>
                <w:sz w:val="24"/>
              </w:rPr>
              <w:t>&gt;1.8m</w:t>
            </w:r>
            <w:r>
              <w:rPr>
                <w:rFonts w:hint="eastAsia"/>
                <w:color w:val="auto"/>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37" w:hRule="atLeast"/>
          <w:tblHeader/>
        </w:trPr>
        <w:tc>
          <w:tcPr>
            <w:tcW w:w="698" w:type="dxa"/>
            <w:shd w:val="clear" w:color="auto" w:fill="B8CCE4"/>
            <w:vAlign w:val="center"/>
          </w:tcPr>
          <w:p>
            <w:pPr>
              <w:pStyle w:val="129"/>
              <w:numPr>
                <w:ilvl w:val="0"/>
                <w:numId w:val="63"/>
              </w:numPr>
              <w:spacing w:line="360" w:lineRule="auto"/>
              <w:ind w:firstLineChars="0"/>
              <w:jc w:val="center"/>
              <w:rPr>
                <w:color w:val="auto"/>
              </w:rPr>
            </w:pPr>
          </w:p>
        </w:tc>
        <w:tc>
          <w:tcPr>
            <w:tcW w:w="1377" w:type="dxa"/>
            <w:vAlign w:val="center"/>
          </w:tcPr>
          <w:p>
            <w:pPr>
              <w:spacing w:line="360" w:lineRule="auto"/>
              <w:jc w:val="center"/>
              <w:rPr>
                <w:color w:val="auto"/>
                <w:sz w:val="24"/>
              </w:rPr>
            </w:pPr>
            <w:r>
              <w:rPr>
                <w:rFonts w:hint="eastAsia"/>
                <w:b/>
                <w:color w:val="auto"/>
                <w:sz w:val="24"/>
              </w:rPr>
              <w:t>个人安全防护紧急冲淋系统</w:t>
            </w:r>
          </w:p>
        </w:tc>
        <w:tc>
          <w:tcPr>
            <w:tcW w:w="7905" w:type="dxa"/>
            <w:vAlign w:val="center"/>
          </w:tcPr>
          <w:p>
            <w:pPr>
              <w:rPr>
                <w:color w:val="auto"/>
                <w:sz w:val="24"/>
              </w:rPr>
            </w:pPr>
            <w:r>
              <w:rPr>
                <w:color w:val="auto"/>
                <w:sz w:val="24"/>
              </w:rPr>
              <w:t>21.1</w:t>
            </w:r>
            <w:r>
              <w:rPr>
                <w:rFonts w:hint="eastAsia"/>
                <w:color w:val="auto"/>
                <w:sz w:val="24"/>
              </w:rPr>
              <w:t>柜外配有紧急洗眼冲淋器，全不锈钢组合式，离柜门外一边</w:t>
            </w:r>
            <w:r>
              <w:rPr>
                <w:color w:val="auto"/>
                <w:sz w:val="24"/>
              </w:rPr>
              <w:t>1.5m</w:t>
            </w:r>
            <w:r>
              <w:rPr>
                <w:rFonts w:hint="eastAsia"/>
                <w:color w:val="auto"/>
                <w:sz w:val="24"/>
              </w:rPr>
              <w:t>处，</w:t>
            </w:r>
            <w:r>
              <w:rPr>
                <w:color w:val="auto"/>
                <w:sz w:val="24"/>
              </w:rPr>
              <w:t>10S</w:t>
            </w:r>
            <w:r>
              <w:rPr>
                <w:rFonts w:hint="eastAsia"/>
                <w:color w:val="auto"/>
                <w:sz w:val="24"/>
              </w:rPr>
              <w:t>内到达处安装；需持续稳定水</w:t>
            </w:r>
            <w:r>
              <w:rPr>
                <w:color w:val="auto"/>
                <w:sz w:val="24"/>
              </w:rPr>
              <w:t xml:space="preserve">15min </w:t>
            </w:r>
            <w:r>
              <w:rPr>
                <w:rFonts w:hint="eastAsia"/>
                <w:color w:val="auto"/>
                <w:sz w:val="24"/>
              </w:rPr>
              <w:t>以上，</w:t>
            </w:r>
            <w:r>
              <w:rPr>
                <w:color w:val="auto"/>
                <w:sz w:val="24"/>
              </w:rPr>
              <w:t xml:space="preserve">35L/min </w:t>
            </w:r>
            <w:r>
              <w:rPr>
                <w:rFonts w:hint="eastAsia"/>
                <w:color w:val="auto"/>
                <w:sz w:val="24"/>
              </w:rPr>
              <w:t>水量，</w:t>
            </w:r>
            <w:r>
              <w:rPr>
                <w:color w:val="auto"/>
                <w:sz w:val="24"/>
              </w:rPr>
              <w:t>1</w:t>
            </w:r>
            <w:r>
              <w:rPr>
                <w:rFonts w:hint="eastAsia"/>
                <w:color w:val="auto"/>
                <w:sz w:val="24"/>
              </w:rPr>
              <w:t>秒迅速无障碍开启。</w:t>
            </w:r>
          </w:p>
          <w:p>
            <w:pPr>
              <w:rPr>
                <w:color w:val="auto"/>
                <w:sz w:val="24"/>
              </w:rPr>
            </w:pPr>
            <w:r>
              <w:rPr>
                <w:rFonts w:hint="eastAsia"/>
                <w:color w:val="auto"/>
                <w:sz w:val="24"/>
              </w:rPr>
              <w:t>为了更直观了解设计工艺，提供用户现场实景照片。</w:t>
            </w:r>
          </w:p>
        </w:tc>
      </w:tr>
    </w:tbl>
    <w:p>
      <w:pPr>
        <w:ind w:firstLine="420" w:firstLineChars="200"/>
        <w:rPr>
          <w:rFonts w:ascii="宋体" w:hAnsi="宋体" w:cs="仿宋"/>
          <w:color w:val="auto"/>
        </w:rPr>
      </w:pPr>
    </w:p>
    <w:p>
      <w:pPr>
        <w:ind w:firstLine="420" w:firstLineChars="200"/>
        <w:rPr>
          <w:rFonts w:ascii="宋体" w:hAnsi="宋体" w:cs="仿宋"/>
          <w:color w:val="auto"/>
        </w:rPr>
      </w:pPr>
    </w:p>
    <w:p>
      <w:pPr>
        <w:ind w:firstLine="420" w:firstLineChars="200"/>
        <w:rPr>
          <w:rFonts w:ascii="宋体" w:hAnsi="宋体" w:cs="仿宋"/>
          <w:color w:val="auto"/>
        </w:rPr>
      </w:pPr>
    </w:p>
    <w:p>
      <w:pPr>
        <w:ind w:firstLine="420" w:firstLineChars="200"/>
        <w:rPr>
          <w:rFonts w:ascii="宋体" w:hAnsi="宋体" w:cs="仿宋"/>
          <w:color w:val="auto"/>
        </w:rPr>
      </w:pPr>
    </w:p>
    <w:p>
      <w:pPr>
        <w:ind w:firstLine="420" w:firstLineChars="200"/>
        <w:rPr>
          <w:rFonts w:ascii="宋体" w:hAnsi="宋体" w:cs="仿宋"/>
          <w:color w:val="auto"/>
        </w:rPr>
        <w:sectPr>
          <w:headerReference r:id="rId11" w:type="default"/>
          <w:footerReference r:id="rId12" w:type="default"/>
          <w:pgSz w:w="11907" w:h="16840"/>
          <w:pgMar w:top="907" w:right="1588" w:bottom="1219" w:left="1588" w:header="567" w:footer="454" w:gutter="0"/>
          <w:cols w:space="720" w:num="1"/>
          <w:docGrid w:linePitch="312" w:charSpace="0"/>
        </w:sectPr>
      </w:pPr>
    </w:p>
    <w:p>
      <w:pPr>
        <w:pStyle w:val="127"/>
        <w:spacing w:line="433" w:lineRule="exact"/>
        <w:ind w:left="2813" w:right="-218" w:rightChars="-104"/>
        <w:jc w:val="left"/>
        <w:rPr>
          <w:color w:val="auto"/>
        </w:rPr>
      </w:pPr>
      <w:r>
        <w:rPr>
          <w:color w:val="auto"/>
        </w:rPr>
        <w:t>第五章投标文件格式</w:t>
      </w:r>
    </w:p>
    <w:p>
      <w:pPr>
        <w:pStyle w:val="18"/>
        <w:spacing w:before="142" w:line="276" w:lineRule="auto"/>
        <w:ind w:left="108" w:right="-218" w:rightChars="-104" w:firstLine="420"/>
        <w:rPr>
          <w:color w:val="auto"/>
        </w:rPr>
      </w:pPr>
      <w:r>
        <w:rPr>
          <w:color w:val="auto"/>
          <w:spacing w:val="-6"/>
        </w:rPr>
        <w:t>投标人必须按以下顺序及格式编制、装订投标文件，并在文件中附有目录及页码，</w:t>
      </w:r>
      <w:r>
        <w:rPr>
          <w:color w:val="auto"/>
          <w:spacing w:val="2"/>
        </w:rPr>
        <w:t>授权函、货物样本资料按包装订并说明包号、品目号、序号，以便招标人查阅及评标专家评审。由于未按以上要求装订的投标人，造成评标委员会不能正常评审，评</w:t>
      </w:r>
      <w:r>
        <w:rPr>
          <w:color w:val="auto"/>
        </w:rPr>
        <w:t>委有权将其废标。</w:t>
      </w:r>
    </w:p>
    <w:p>
      <w:pPr>
        <w:pStyle w:val="18"/>
        <w:spacing w:before="10" w:line="276" w:lineRule="auto"/>
        <w:ind w:left="108" w:right="-218" w:rightChars="-104" w:firstLine="420"/>
        <w:rPr>
          <w:color w:val="auto"/>
        </w:rPr>
      </w:pPr>
      <w:r>
        <w:rPr>
          <w:color w:val="auto"/>
          <w:spacing w:val="-3"/>
        </w:rPr>
        <w:t>除了招标文件已经有要求的条款外，投标人必须提供以下带</w:t>
      </w:r>
      <w:r>
        <w:rPr>
          <w:color w:val="auto"/>
          <w:spacing w:val="-3"/>
          <w:sz w:val="36"/>
          <w:szCs w:val="36"/>
        </w:rPr>
        <w:t>“</w:t>
      </w:r>
      <w:r>
        <w:rPr>
          <w:rFonts w:hint="eastAsia" w:ascii="腾祥潮黑简" w:hAnsi="腾祥潮黑简" w:eastAsia="腾祥潮黑简" w:cs="腾祥潮黑简"/>
          <w:b/>
          <w:bCs/>
          <w:color w:val="auto"/>
          <w:spacing w:val="-3"/>
          <w:sz w:val="36"/>
          <w:szCs w:val="36"/>
        </w:rPr>
        <w:t>*</w:t>
      </w:r>
      <w:r>
        <w:rPr>
          <w:color w:val="auto"/>
          <w:spacing w:val="-3"/>
          <w:sz w:val="36"/>
          <w:szCs w:val="36"/>
        </w:rPr>
        <w:t>”</w:t>
      </w:r>
      <w:r>
        <w:rPr>
          <w:color w:val="auto"/>
          <w:spacing w:val="-3"/>
        </w:rPr>
        <w:t>号的条款内容，</w:t>
      </w:r>
      <w:r>
        <w:rPr>
          <w:color w:val="auto"/>
        </w:rPr>
        <w:t>否则招标人拒绝其投标。除注明可用复印件的外，其余的</w:t>
      </w:r>
      <w:r>
        <w:rPr>
          <w:b/>
          <w:bCs/>
          <w:color w:val="auto"/>
          <w:u w:val="single"/>
        </w:rPr>
        <w:t>必须提供原件</w:t>
      </w:r>
      <w:r>
        <w:rPr>
          <w:color w:val="auto"/>
        </w:rPr>
        <w:t>。</w:t>
      </w:r>
    </w:p>
    <w:p>
      <w:pPr>
        <w:pStyle w:val="18"/>
        <w:spacing w:before="3"/>
        <w:ind w:right="-218" w:rightChars="-104"/>
        <w:rPr>
          <w:color w:val="auto"/>
          <w:sz w:val="19"/>
        </w:rPr>
      </w:pPr>
    </w:p>
    <w:p>
      <w:pPr>
        <w:pStyle w:val="128"/>
        <w:ind w:left="108" w:right="-218" w:rightChars="-104"/>
        <w:rPr>
          <w:color w:val="auto"/>
        </w:rPr>
      </w:pPr>
      <w:r>
        <w:rPr>
          <w:color w:val="auto"/>
        </w:rPr>
        <w:t>一、投标报价文件</w:t>
      </w:r>
    </w:p>
    <w:p>
      <w:pPr>
        <w:pStyle w:val="18"/>
        <w:spacing w:before="37" w:line="240" w:lineRule="auto"/>
        <w:ind w:left="108" w:right="-218" w:rightChars="-104" w:firstLine="770" w:firstLineChars="321"/>
        <w:rPr>
          <w:color w:val="auto"/>
        </w:rPr>
      </w:pPr>
      <w:r>
        <w:rPr>
          <w:color w:val="auto"/>
        </w:rPr>
        <w:t>1.</w:t>
      </w:r>
      <w:r>
        <w:rPr>
          <w:b/>
          <w:bCs/>
          <w:color w:val="auto"/>
          <w:sz w:val="30"/>
          <w:szCs w:val="30"/>
        </w:rPr>
        <w:t>*</w:t>
      </w:r>
      <w:r>
        <w:rPr>
          <w:color w:val="auto"/>
        </w:rPr>
        <w:t>投标声明</w:t>
      </w:r>
    </w:p>
    <w:p>
      <w:pPr>
        <w:pStyle w:val="18"/>
        <w:spacing w:before="46" w:line="240" w:lineRule="auto"/>
        <w:ind w:left="108" w:right="-218" w:rightChars="-104" w:firstLine="770" w:firstLineChars="321"/>
        <w:rPr>
          <w:color w:val="auto"/>
        </w:rPr>
      </w:pPr>
      <w:r>
        <w:rPr>
          <w:color w:val="auto"/>
        </w:rPr>
        <w:t>2.</w:t>
      </w:r>
      <w:r>
        <w:rPr>
          <w:b/>
          <w:bCs/>
          <w:color w:val="auto"/>
          <w:sz w:val="30"/>
          <w:szCs w:val="30"/>
        </w:rPr>
        <w:t>*</w:t>
      </w:r>
      <w:r>
        <w:rPr>
          <w:color w:val="auto"/>
        </w:rPr>
        <w:t>开标一览表</w:t>
      </w:r>
    </w:p>
    <w:p>
      <w:pPr>
        <w:pStyle w:val="18"/>
        <w:spacing w:before="46" w:line="240" w:lineRule="auto"/>
        <w:ind w:left="108" w:right="-218" w:rightChars="-104" w:firstLine="770" w:firstLineChars="321"/>
        <w:rPr>
          <w:color w:val="auto"/>
        </w:rPr>
      </w:pPr>
      <w:r>
        <w:rPr>
          <w:color w:val="auto"/>
        </w:rPr>
        <w:t>3.</w:t>
      </w:r>
      <w:r>
        <w:rPr>
          <w:rFonts w:hint="eastAsia"/>
          <w:b/>
          <w:bCs/>
          <w:color w:val="auto"/>
          <w:sz w:val="30"/>
          <w:szCs w:val="30"/>
        </w:rPr>
        <w:t>*</w:t>
      </w:r>
      <w:r>
        <w:rPr>
          <w:color w:val="auto"/>
        </w:rPr>
        <w:t>投标货物报价详细说明表</w:t>
      </w:r>
    </w:p>
    <w:p>
      <w:pPr>
        <w:pStyle w:val="18"/>
        <w:spacing w:before="13" w:line="240" w:lineRule="auto"/>
        <w:ind w:right="-218" w:rightChars="-104"/>
        <w:rPr>
          <w:color w:val="auto"/>
          <w:sz w:val="21"/>
        </w:rPr>
      </w:pPr>
    </w:p>
    <w:p>
      <w:pPr>
        <w:pStyle w:val="18"/>
        <w:numPr>
          <w:ilvl w:val="0"/>
          <w:numId w:val="64"/>
        </w:numPr>
        <w:spacing w:line="240" w:lineRule="auto"/>
        <w:ind w:left="108" w:right="-218" w:rightChars="-104"/>
        <w:rPr>
          <w:color w:val="auto"/>
        </w:rPr>
      </w:pPr>
      <w:r>
        <w:rPr>
          <w:b/>
          <w:color w:val="auto"/>
          <w:sz w:val="30"/>
        </w:rPr>
        <w:t>商务响应文件</w:t>
      </w:r>
      <w:r>
        <w:rPr>
          <w:color w:val="auto"/>
        </w:rPr>
        <w:t>(三证合一或两证合一者依新规提供相关证明文件)</w:t>
      </w:r>
    </w:p>
    <w:p>
      <w:pPr>
        <w:pStyle w:val="18"/>
        <w:spacing w:line="240" w:lineRule="auto"/>
        <w:ind w:left="1279" w:leftChars="400" w:right="-218" w:rightChars="-104" w:hanging="439" w:hangingChars="183"/>
        <w:rPr>
          <w:color w:val="auto"/>
        </w:rPr>
      </w:pPr>
      <w:r>
        <w:rPr>
          <w:color w:val="auto"/>
        </w:rPr>
        <w:t>1.</w:t>
      </w:r>
      <w:r>
        <w:rPr>
          <w:b/>
          <w:bCs/>
          <w:color w:val="auto"/>
          <w:sz w:val="30"/>
          <w:szCs w:val="30"/>
        </w:rPr>
        <w:t>*</w:t>
      </w:r>
      <w:r>
        <w:rPr>
          <w:rFonts w:hint="eastAsia"/>
          <w:color w:val="auto"/>
        </w:rPr>
        <w:t>法定代表人</w:t>
      </w:r>
      <w:r>
        <w:rPr>
          <w:color w:val="auto"/>
        </w:rPr>
        <w:t>授权委托书或身份证（经营者自己投标者）</w:t>
      </w:r>
    </w:p>
    <w:p>
      <w:pPr>
        <w:pStyle w:val="18"/>
        <w:spacing w:before="22" w:line="240" w:lineRule="auto"/>
        <w:ind w:left="1279" w:leftChars="400" w:right="-218" w:rightChars="-104" w:hanging="439" w:hangingChars="183"/>
        <w:rPr>
          <w:color w:val="auto"/>
        </w:rPr>
      </w:pPr>
      <w:r>
        <w:rPr>
          <w:color w:val="auto"/>
        </w:rPr>
        <w:t>2.</w:t>
      </w:r>
      <w:r>
        <w:rPr>
          <w:b/>
          <w:bCs/>
          <w:color w:val="auto"/>
          <w:sz w:val="30"/>
          <w:szCs w:val="30"/>
        </w:rPr>
        <w:t>*</w:t>
      </w:r>
      <w:r>
        <w:rPr>
          <w:color w:val="auto"/>
        </w:rPr>
        <w:t>营业执照(副本复印件，加盖单位公章)</w:t>
      </w:r>
    </w:p>
    <w:p>
      <w:pPr>
        <w:pStyle w:val="18"/>
        <w:spacing w:before="46" w:line="240" w:lineRule="auto"/>
        <w:ind w:left="1279" w:leftChars="400" w:right="-218" w:rightChars="-104" w:hanging="439" w:hangingChars="183"/>
        <w:rPr>
          <w:color w:val="auto"/>
        </w:rPr>
      </w:pPr>
      <w:r>
        <w:rPr>
          <w:color w:val="auto"/>
        </w:rPr>
        <w:t>3.投标人基本情况表</w:t>
      </w:r>
    </w:p>
    <w:p>
      <w:pPr>
        <w:pStyle w:val="18"/>
        <w:spacing w:before="46" w:line="240" w:lineRule="auto"/>
        <w:ind w:left="1279" w:leftChars="400" w:right="-218" w:rightChars="-104" w:hanging="439" w:hangingChars="183"/>
        <w:rPr>
          <w:color w:val="auto"/>
        </w:rPr>
      </w:pPr>
      <w:r>
        <w:rPr>
          <w:color w:val="auto"/>
        </w:rPr>
        <w:t>4.</w:t>
      </w:r>
      <w:r>
        <w:rPr>
          <w:b/>
          <w:bCs/>
          <w:color w:val="auto"/>
          <w:sz w:val="30"/>
          <w:szCs w:val="30"/>
        </w:rPr>
        <w:t>*</w:t>
      </w:r>
      <w:r>
        <w:rPr>
          <w:color w:val="auto"/>
        </w:rPr>
        <w:t>参加采购活动前三年内在经营活动中没有重大违法记录的书面声明</w:t>
      </w:r>
    </w:p>
    <w:p>
      <w:pPr>
        <w:pStyle w:val="18"/>
        <w:spacing w:before="46" w:line="240" w:lineRule="auto"/>
        <w:ind w:left="1279" w:leftChars="400" w:right="-218" w:rightChars="-104" w:hanging="439" w:hangingChars="183"/>
        <w:rPr>
          <w:color w:val="auto"/>
        </w:rPr>
      </w:pPr>
      <w:r>
        <w:rPr>
          <w:color w:val="auto"/>
        </w:rPr>
        <w:t>5.</w:t>
      </w:r>
      <w:r>
        <w:rPr>
          <w:b/>
          <w:bCs/>
          <w:color w:val="auto"/>
          <w:sz w:val="30"/>
          <w:szCs w:val="30"/>
        </w:rPr>
        <w:t>*</w:t>
      </w:r>
      <w:r>
        <w:rPr>
          <w:color w:val="auto"/>
        </w:rPr>
        <w:t>投标人</w:t>
      </w:r>
      <w:r>
        <w:rPr>
          <w:rFonts w:hint="eastAsia"/>
          <w:color w:val="auto"/>
        </w:rPr>
        <w:t>近半年连续三个月纳税及</w:t>
      </w:r>
      <w:r>
        <w:rPr>
          <w:color w:val="auto"/>
        </w:rPr>
        <w:t>缴纳社会保险的凭证复印件</w:t>
      </w:r>
    </w:p>
    <w:p>
      <w:pPr>
        <w:pStyle w:val="18"/>
        <w:spacing w:before="46" w:line="240" w:lineRule="auto"/>
        <w:ind w:left="1279" w:leftChars="400" w:right="-218" w:rightChars="-104" w:hanging="439" w:hangingChars="183"/>
        <w:rPr>
          <w:color w:val="auto"/>
        </w:rPr>
      </w:pPr>
      <w:r>
        <w:rPr>
          <w:rFonts w:hint="eastAsia"/>
          <w:color w:val="auto"/>
        </w:rPr>
        <w:t>6.商务条款偏离表</w:t>
      </w:r>
    </w:p>
    <w:p>
      <w:pPr>
        <w:pStyle w:val="18"/>
        <w:spacing w:before="10" w:line="240" w:lineRule="auto"/>
        <w:ind w:left="1275" w:leftChars="400" w:right="-218" w:rightChars="-104" w:hanging="435" w:hangingChars="183"/>
        <w:rPr>
          <w:color w:val="auto"/>
        </w:rPr>
      </w:pPr>
      <w:r>
        <w:rPr>
          <w:rFonts w:hint="eastAsia"/>
          <w:color w:val="auto"/>
          <w:spacing w:val="-1"/>
        </w:rPr>
        <w:t>7</w:t>
      </w:r>
      <w:r>
        <w:rPr>
          <w:color w:val="auto"/>
          <w:spacing w:val="-1"/>
        </w:rPr>
        <w:t>.</w:t>
      </w:r>
      <w:r>
        <w:rPr>
          <w:color w:val="auto"/>
        </w:rPr>
        <w:t>投标人认为有必要提供的其他资料（</w:t>
      </w:r>
      <w:r>
        <w:rPr>
          <w:rFonts w:hint="eastAsia"/>
          <w:color w:val="auto"/>
        </w:rPr>
        <w:t>以上材料</w:t>
      </w:r>
      <w:r>
        <w:rPr>
          <w:color w:val="auto"/>
        </w:rPr>
        <w:t>需加盖企业公章</w:t>
      </w:r>
      <w:r>
        <w:rPr>
          <w:color w:val="auto"/>
          <w:spacing w:val="-120"/>
        </w:rPr>
        <w:t>）</w:t>
      </w:r>
      <w:r>
        <w:rPr>
          <w:color w:val="auto"/>
        </w:rPr>
        <w:t>。</w:t>
      </w:r>
    </w:p>
    <w:p>
      <w:pPr>
        <w:pStyle w:val="18"/>
        <w:spacing w:before="13" w:line="240" w:lineRule="auto"/>
        <w:ind w:right="-218" w:rightChars="-104"/>
        <w:rPr>
          <w:color w:val="auto"/>
          <w:sz w:val="21"/>
        </w:rPr>
      </w:pPr>
    </w:p>
    <w:p>
      <w:pPr>
        <w:pStyle w:val="128"/>
        <w:ind w:left="108" w:right="-218" w:rightChars="-104"/>
        <w:rPr>
          <w:color w:val="auto"/>
        </w:rPr>
      </w:pPr>
      <w:r>
        <w:rPr>
          <w:color w:val="auto"/>
        </w:rPr>
        <w:t>三、技术响应文件</w:t>
      </w:r>
    </w:p>
    <w:p>
      <w:pPr>
        <w:pStyle w:val="18"/>
        <w:spacing w:before="37" w:line="240" w:lineRule="auto"/>
        <w:ind w:left="828" w:right="-218" w:rightChars="-104" w:firstLine="9"/>
        <w:rPr>
          <w:color w:val="auto"/>
        </w:rPr>
      </w:pPr>
      <w:r>
        <w:rPr>
          <w:color w:val="auto"/>
        </w:rPr>
        <w:t>1.投标货物技术偏离表</w:t>
      </w:r>
    </w:p>
    <w:p>
      <w:pPr>
        <w:pStyle w:val="18"/>
        <w:spacing w:before="46" w:line="240" w:lineRule="auto"/>
        <w:ind w:left="828" w:right="-218" w:rightChars="-104" w:firstLine="9"/>
        <w:rPr>
          <w:color w:val="auto"/>
        </w:rPr>
      </w:pPr>
      <w:r>
        <w:rPr>
          <w:color w:val="auto"/>
        </w:rPr>
        <w:t>2.投标货物技术简要说明</w:t>
      </w:r>
    </w:p>
    <w:p>
      <w:pPr>
        <w:pStyle w:val="18"/>
        <w:spacing w:before="46" w:line="240" w:lineRule="auto"/>
        <w:ind w:left="828" w:right="-218" w:rightChars="-104" w:firstLine="9"/>
        <w:rPr>
          <w:color w:val="auto"/>
        </w:rPr>
      </w:pPr>
      <w:r>
        <w:rPr>
          <w:color w:val="auto"/>
        </w:rPr>
        <w:t>3.</w:t>
      </w:r>
      <w:r>
        <w:rPr>
          <w:b/>
          <w:bCs/>
          <w:color w:val="auto"/>
          <w:sz w:val="30"/>
          <w:szCs w:val="30"/>
        </w:rPr>
        <w:t>*</w:t>
      </w:r>
      <w:r>
        <w:rPr>
          <w:color w:val="auto"/>
        </w:rPr>
        <w:t>售后服务承诺书（产品售后服务承诺书及供货时效说明书</w:t>
      </w:r>
      <w:r>
        <w:rPr>
          <w:rFonts w:hint="eastAsia"/>
          <w:color w:val="auto"/>
        </w:rPr>
        <w:t>等</w:t>
      </w:r>
      <w:r>
        <w:rPr>
          <w:color w:val="auto"/>
        </w:rPr>
        <w:t>）</w:t>
      </w:r>
    </w:p>
    <w:p>
      <w:pPr>
        <w:pStyle w:val="18"/>
        <w:spacing w:before="46" w:line="240" w:lineRule="auto"/>
        <w:ind w:left="828" w:right="-218" w:rightChars="-104" w:firstLine="9"/>
        <w:rPr>
          <w:color w:val="auto"/>
        </w:rPr>
      </w:pPr>
      <w:r>
        <w:rPr>
          <w:color w:val="auto"/>
        </w:rPr>
        <w:t>4.技术方案补充说明</w:t>
      </w:r>
    </w:p>
    <w:p>
      <w:pPr>
        <w:pStyle w:val="18"/>
        <w:spacing w:before="77" w:line="240" w:lineRule="auto"/>
        <w:ind w:left="828" w:right="-218" w:rightChars="-104" w:firstLine="9"/>
        <w:rPr>
          <w:color w:val="auto"/>
        </w:rPr>
      </w:pPr>
      <w:r>
        <w:rPr>
          <w:color w:val="auto"/>
        </w:rPr>
        <w:t>5.货物</w:t>
      </w:r>
      <w:r>
        <w:rPr>
          <w:rFonts w:hint="eastAsia"/>
          <w:color w:val="auto"/>
        </w:rPr>
        <w:t>运输、安装</w:t>
      </w:r>
      <w:r>
        <w:rPr>
          <w:color w:val="auto"/>
        </w:rPr>
        <w:t>、验收规范等</w:t>
      </w:r>
    </w:p>
    <w:p>
      <w:pPr>
        <w:pStyle w:val="18"/>
        <w:spacing w:before="77" w:line="240" w:lineRule="auto"/>
        <w:ind w:left="828" w:right="-218" w:rightChars="-104" w:firstLine="9"/>
        <w:rPr>
          <w:b/>
          <w:bCs/>
          <w:color w:val="auto"/>
          <w:spacing w:val="-6"/>
        </w:rPr>
      </w:pPr>
      <w:r>
        <w:rPr>
          <w:rFonts w:hint="eastAsia"/>
          <w:color w:val="auto"/>
        </w:rPr>
        <w:t>6</w:t>
      </w:r>
      <w:r>
        <w:rPr>
          <w:rFonts w:hint="eastAsia"/>
          <w:b/>
          <w:bCs/>
          <w:color w:val="auto"/>
        </w:rPr>
        <w:t>.</w:t>
      </w:r>
      <w:r>
        <w:rPr>
          <w:rFonts w:hint="eastAsia"/>
          <w:color w:val="auto"/>
          <w:spacing w:val="-6"/>
          <w:u w:val="single"/>
        </w:rPr>
        <w:t>投标产品的产品介绍、技术参数</w:t>
      </w:r>
    </w:p>
    <w:p>
      <w:pPr>
        <w:ind w:firstLine="420" w:firstLineChars="200"/>
        <w:rPr>
          <w:rFonts w:ascii="宋体" w:hAnsi="宋体" w:cs="仿宋"/>
          <w:color w:val="auto"/>
        </w:rPr>
        <w:sectPr>
          <w:headerReference r:id="rId13" w:type="default"/>
          <w:pgSz w:w="11907" w:h="16840"/>
          <w:pgMar w:top="907" w:right="1588" w:bottom="1219" w:left="1588" w:header="567" w:footer="454" w:gutter="0"/>
          <w:cols w:space="720" w:num="1"/>
          <w:docGrid w:linePitch="312" w:charSpace="0"/>
        </w:sectPr>
      </w:pPr>
    </w:p>
    <w:p>
      <w:pPr>
        <w:ind w:firstLine="420" w:firstLineChars="200"/>
        <w:rPr>
          <w:rFonts w:ascii="宋体" w:hAnsi="宋体" w:cs="仿宋"/>
          <w:color w:val="auto"/>
        </w:rPr>
      </w:pPr>
    </w:p>
    <w:p>
      <w:pPr>
        <w:ind w:firstLine="420" w:firstLineChars="200"/>
        <w:rPr>
          <w:rFonts w:ascii="宋体" w:hAnsi="宋体" w:cs="仿宋"/>
          <w:color w:val="auto"/>
        </w:rPr>
      </w:pPr>
    </w:p>
    <w:p>
      <w:pPr>
        <w:rPr>
          <w:rFonts w:ascii="宋体" w:hAnsi="宋体" w:cs="仿宋"/>
          <w:color w:val="auto"/>
        </w:rPr>
      </w:pPr>
    </w:p>
    <w:p>
      <w:pPr>
        <w:snapToGrid w:val="0"/>
        <w:spacing w:beforeLines="100" w:afterLines="100" w:line="500" w:lineRule="exact"/>
        <w:jc w:val="left"/>
        <w:outlineLvl w:val="2"/>
        <w:rPr>
          <w:rFonts w:hAnsi="宋体"/>
          <w:b/>
          <w:bCs/>
          <w:color w:val="auto"/>
          <w:sz w:val="30"/>
          <w:szCs w:val="30"/>
        </w:rPr>
      </w:pPr>
      <w:r>
        <w:rPr>
          <w:rFonts w:hint="eastAsia" w:hAnsi="宋体"/>
          <w:b/>
          <w:bCs/>
          <w:color w:val="auto"/>
          <w:sz w:val="30"/>
          <w:szCs w:val="30"/>
        </w:rPr>
        <w:t xml:space="preserve"> </w:t>
      </w:r>
      <w:bookmarkStart w:id="209" w:name="附件2"/>
      <w:r>
        <w:rPr>
          <w:rFonts w:hAnsi="宋体"/>
          <w:b/>
          <w:bCs/>
          <w:color w:val="auto"/>
          <w:sz w:val="30"/>
          <w:szCs w:val="30"/>
        </w:rPr>
        <w:t>附件1.</w:t>
      </w:r>
    </w:p>
    <w:p>
      <w:pPr>
        <w:snapToGrid w:val="0"/>
        <w:spacing w:line="500" w:lineRule="exact"/>
        <w:jc w:val="center"/>
        <w:rPr>
          <w:b/>
          <w:color w:val="auto"/>
          <w:sz w:val="30"/>
          <w:szCs w:val="30"/>
        </w:rPr>
      </w:pPr>
      <w:r>
        <w:rPr>
          <w:rFonts w:hAnsi="宋体"/>
          <w:b/>
          <w:color w:val="auto"/>
          <w:sz w:val="30"/>
          <w:szCs w:val="30"/>
        </w:rPr>
        <w:t>投标声明（格式）</w:t>
      </w:r>
    </w:p>
    <w:p>
      <w:pPr>
        <w:adjustRightInd w:val="0"/>
        <w:snapToGrid w:val="0"/>
        <w:spacing w:line="360" w:lineRule="exact"/>
        <w:rPr>
          <w:color w:val="auto"/>
          <w:sz w:val="24"/>
        </w:rPr>
      </w:pPr>
      <w:r>
        <w:rPr>
          <w:rFonts w:hAnsi="宋体"/>
          <w:color w:val="auto"/>
          <w:sz w:val="24"/>
        </w:rPr>
        <w:t>致</w:t>
      </w:r>
      <w:r>
        <w:rPr>
          <w:rFonts w:hAnsi="宋体"/>
          <w:color w:val="auto"/>
          <w:sz w:val="24"/>
          <w:u w:val="single"/>
        </w:rPr>
        <w:t>湖南工程学院</w:t>
      </w:r>
      <w:r>
        <w:rPr>
          <w:rFonts w:hAnsi="宋体"/>
          <w:color w:val="auto"/>
          <w:sz w:val="24"/>
        </w:rPr>
        <w:t>：</w:t>
      </w:r>
    </w:p>
    <w:p>
      <w:pPr>
        <w:adjustRightInd w:val="0"/>
        <w:snapToGrid w:val="0"/>
        <w:spacing w:line="360" w:lineRule="exact"/>
        <w:ind w:firstLine="435"/>
        <w:rPr>
          <w:color w:val="auto"/>
          <w:sz w:val="24"/>
        </w:rPr>
      </w:pPr>
      <w:r>
        <w:rPr>
          <w:rFonts w:hAnsi="宋体"/>
          <w:color w:val="auto"/>
          <w:sz w:val="24"/>
        </w:rPr>
        <w:t>我方愿意参加贵方组织</w:t>
      </w:r>
      <w:r>
        <w:rPr>
          <w:color w:val="auto"/>
          <w:sz w:val="24"/>
          <w:u w:val="single"/>
        </w:rPr>
        <w:t xml:space="preserve">             </w:t>
      </w:r>
      <w:r>
        <w:rPr>
          <w:rFonts w:hAnsi="宋体"/>
          <w:color w:val="auto"/>
          <w:sz w:val="24"/>
        </w:rPr>
        <w:t>（招标项目名称）（项目编号：</w:t>
      </w:r>
      <w:r>
        <w:rPr>
          <w:color w:val="auto"/>
          <w:sz w:val="24"/>
          <w:u w:val="single"/>
        </w:rPr>
        <w:t xml:space="preserve">           </w:t>
      </w:r>
      <w:r>
        <w:rPr>
          <w:rFonts w:hAnsi="宋体"/>
          <w:color w:val="auto"/>
          <w:sz w:val="24"/>
        </w:rPr>
        <w:t>）项目的投标，签字代表</w:t>
      </w:r>
      <w:r>
        <w:rPr>
          <w:color w:val="auto"/>
          <w:sz w:val="24"/>
          <w:u w:val="single"/>
        </w:rPr>
        <w:t xml:space="preserve">         </w:t>
      </w:r>
      <w:r>
        <w:rPr>
          <w:rFonts w:hAnsi="宋体"/>
          <w:color w:val="auto"/>
          <w:sz w:val="24"/>
        </w:rPr>
        <w:t>（姓名、职务）经正式授权并代表投标人</w:t>
      </w:r>
      <w:r>
        <w:rPr>
          <w:color w:val="auto"/>
          <w:sz w:val="24"/>
          <w:u w:val="single"/>
        </w:rPr>
        <w:t xml:space="preserve">        </w:t>
      </w:r>
      <w:r>
        <w:rPr>
          <w:rFonts w:hAnsi="宋体"/>
          <w:color w:val="auto"/>
          <w:sz w:val="24"/>
        </w:rPr>
        <w:t>（投标人名称、地址）提交下述文件正本一份、副本</w:t>
      </w:r>
      <w:r>
        <w:rPr>
          <w:color w:val="auto"/>
          <w:sz w:val="24"/>
          <w:u w:val="single"/>
        </w:rPr>
        <w:t xml:space="preserve">     </w:t>
      </w:r>
      <w:r>
        <w:rPr>
          <w:rFonts w:hAnsi="宋体"/>
          <w:color w:val="auto"/>
          <w:sz w:val="24"/>
        </w:rPr>
        <w:t>份。</w:t>
      </w:r>
      <w:r>
        <w:rPr>
          <w:rFonts w:hAnsi="宋体"/>
          <w:b/>
          <w:bCs/>
          <w:color w:val="auto"/>
          <w:sz w:val="24"/>
          <w:u w:val="single"/>
        </w:rPr>
        <w:t>并在此声明，所递交的投标文件内容完整、真实。</w:t>
      </w:r>
      <w:r>
        <w:rPr>
          <w:rFonts w:hAnsi="宋体"/>
          <w:color w:val="auto"/>
          <w:sz w:val="24"/>
        </w:rPr>
        <w:t>在此，签字代表宣布同意如下：</w:t>
      </w:r>
    </w:p>
    <w:p>
      <w:pPr>
        <w:adjustRightInd w:val="0"/>
        <w:snapToGrid w:val="0"/>
        <w:spacing w:line="360" w:lineRule="exact"/>
        <w:ind w:firstLine="480" w:firstLineChars="200"/>
        <w:rPr>
          <w:color w:val="auto"/>
          <w:sz w:val="24"/>
        </w:rPr>
      </w:pPr>
      <w:r>
        <w:rPr>
          <w:color w:val="auto"/>
          <w:sz w:val="24"/>
        </w:rPr>
        <w:t>1</w:t>
      </w:r>
      <w:r>
        <w:rPr>
          <w:rFonts w:hAnsi="宋体"/>
          <w:color w:val="auto"/>
          <w:sz w:val="24"/>
        </w:rPr>
        <w:t>、所附投标价格表中规定的应提交和交付的货物和服务投标总价为</w:t>
      </w:r>
      <w:r>
        <w:rPr>
          <w:color w:val="auto"/>
          <w:sz w:val="24"/>
          <w:u w:val="single"/>
        </w:rPr>
        <w:t xml:space="preserve">   </w:t>
      </w:r>
      <w:r>
        <w:rPr>
          <w:color w:val="auto"/>
          <w:sz w:val="24"/>
        </w:rPr>
        <w:t>(</w:t>
      </w:r>
      <w:r>
        <w:rPr>
          <w:rFonts w:hAnsi="宋体"/>
          <w:color w:val="auto"/>
          <w:sz w:val="24"/>
        </w:rPr>
        <w:t>人民币大写</w:t>
      </w:r>
      <w:r>
        <w:rPr>
          <w:color w:val="auto"/>
          <w:sz w:val="24"/>
        </w:rPr>
        <w:t>)</w:t>
      </w:r>
      <w:r>
        <w:rPr>
          <w:rFonts w:hAnsi="宋体"/>
          <w:color w:val="auto"/>
          <w:sz w:val="24"/>
        </w:rPr>
        <w:t>。</w:t>
      </w:r>
    </w:p>
    <w:p>
      <w:pPr>
        <w:adjustRightInd w:val="0"/>
        <w:snapToGrid w:val="0"/>
        <w:spacing w:line="360" w:lineRule="exact"/>
        <w:ind w:firstLine="480" w:firstLineChars="200"/>
        <w:rPr>
          <w:color w:val="auto"/>
          <w:sz w:val="24"/>
        </w:rPr>
      </w:pPr>
      <w:r>
        <w:rPr>
          <w:color w:val="auto"/>
          <w:sz w:val="24"/>
        </w:rPr>
        <w:t>2</w:t>
      </w:r>
      <w:r>
        <w:rPr>
          <w:rFonts w:hAnsi="宋体"/>
          <w:color w:val="auto"/>
          <w:sz w:val="24"/>
        </w:rPr>
        <w:t>、投标人将按招标文件的规定履行合同责任和义务。</w:t>
      </w:r>
    </w:p>
    <w:p>
      <w:pPr>
        <w:adjustRightInd w:val="0"/>
        <w:snapToGrid w:val="0"/>
        <w:spacing w:line="360" w:lineRule="exact"/>
        <w:ind w:firstLine="480" w:firstLineChars="200"/>
        <w:rPr>
          <w:color w:val="auto"/>
          <w:sz w:val="24"/>
        </w:rPr>
      </w:pPr>
      <w:r>
        <w:rPr>
          <w:color w:val="auto"/>
          <w:sz w:val="24"/>
        </w:rPr>
        <w:t>3</w:t>
      </w:r>
      <w:r>
        <w:rPr>
          <w:rFonts w:hAnsi="宋体"/>
          <w:color w:val="auto"/>
          <w:sz w:val="24"/>
        </w:rPr>
        <w:t>、投标人已详细审查全部招标文件。我们完全理解并同意放弃对这方面有不明及误解的权力。</w:t>
      </w:r>
    </w:p>
    <w:p>
      <w:pPr>
        <w:adjustRightInd w:val="0"/>
        <w:snapToGrid w:val="0"/>
        <w:spacing w:line="360" w:lineRule="exact"/>
        <w:ind w:firstLine="480" w:firstLineChars="200"/>
        <w:rPr>
          <w:color w:val="auto"/>
          <w:sz w:val="24"/>
        </w:rPr>
      </w:pPr>
      <w:r>
        <w:rPr>
          <w:color w:val="auto"/>
          <w:sz w:val="24"/>
        </w:rPr>
        <w:t>4</w:t>
      </w:r>
      <w:r>
        <w:rPr>
          <w:rFonts w:hAnsi="宋体"/>
          <w:color w:val="auto"/>
          <w:sz w:val="24"/>
        </w:rPr>
        <w:t>、根据</w:t>
      </w:r>
      <w:r>
        <w:rPr>
          <w:rFonts w:hAnsi="宋体"/>
          <w:b/>
          <w:color w:val="auto"/>
          <w:sz w:val="24"/>
        </w:rPr>
        <w:t>投标须知第</w:t>
      </w:r>
      <w:r>
        <w:rPr>
          <w:b/>
          <w:color w:val="auto"/>
          <w:sz w:val="24"/>
        </w:rPr>
        <w:t>3</w:t>
      </w:r>
      <w:r>
        <w:rPr>
          <w:rFonts w:hAnsi="宋体"/>
          <w:b/>
          <w:color w:val="auto"/>
          <w:sz w:val="24"/>
        </w:rPr>
        <w:t>条</w:t>
      </w:r>
      <w:r>
        <w:rPr>
          <w:rFonts w:hAnsi="宋体"/>
          <w:color w:val="auto"/>
          <w:sz w:val="24"/>
        </w:rPr>
        <w:t>规定，我方承诺：</w:t>
      </w:r>
    </w:p>
    <w:p>
      <w:pPr>
        <w:adjustRightInd w:val="0"/>
        <w:snapToGrid w:val="0"/>
        <w:spacing w:line="360" w:lineRule="exact"/>
        <w:ind w:firstLine="480" w:firstLineChars="200"/>
        <w:rPr>
          <w:color w:val="auto"/>
          <w:sz w:val="24"/>
        </w:rPr>
      </w:pPr>
      <w:r>
        <w:rPr>
          <w:color w:val="auto"/>
          <w:sz w:val="24"/>
        </w:rPr>
        <w:t>(1)</w:t>
      </w:r>
      <w:r>
        <w:rPr>
          <w:rFonts w:hAnsi="宋体"/>
          <w:color w:val="auto"/>
          <w:sz w:val="24"/>
        </w:rPr>
        <w:t>我们在参加本次采购活动前三年内（新注册单位自营业至今），在经营活动中没有违背中华人民共和国法律的行为，并提供参加采购活动前三年内在经营活动中没有重大违法记录的书面声明；</w:t>
      </w:r>
    </w:p>
    <w:p>
      <w:pPr>
        <w:adjustRightInd w:val="0"/>
        <w:snapToGrid w:val="0"/>
        <w:spacing w:line="360" w:lineRule="exact"/>
        <w:ind w:firstLine="480" w:firstLineChars="200"/>
        <w:rPr>
          <w:color w:val="auto"/>
          <w:sz w:val="24"/>
        </w:rPr>
      </w:pPr>
      <w:r>
        <w:rPr>
          <w:color w:val="auto"/>
          <w:sz w:val="24"/>
        </w:rPr>
        <w:t>(2)</w:t>
      </w:r>
      <w:r>
        <w:rPr>
          <w:rFonts w:hAnsi="宋体"/>
          <w:color w:val="auto"/>
          <w:sz w:val="24"/>
        </w:rPr>
        <w:t>我们依照中华人民共和国有关法律的规定，没有偷税、漏税的行为；</w:t>
      </w:r>
    </w:p>
    <w:p>
      <w:pPr>
        <w:adjustRightInd w:val="0"/>
        <w:snapToGrid w:val="0"/>
        <w:spacing w:line="360" w:lineRule="exact"/>
        <w:ind w:firstLine="480" w:firstLineChars="200"/>
        <w:rPr>
          <w:color w:val="auto"/>
          <w:sz w:val="24"/>
        </w:rPr>
      </w:pPr>
      <w:r>
        <w:rPr>
          <w:color w:val="auto"/>
          <w:sz w:val="24"/>
        </w:rPr>
        <w:t>(3)</w:t>
      </w:r>
      <w:r>
        <w:rPr>
          <w:rFonts w:hAnsi="宋体"/>
          <w:color w:val="auto"/>
          <w:sz w:val="24"/>
        </w:rPr>
        <w:t>与采购人无任何的隶属关系或者其他利害关系。</w:t>
      </w:r>
    </w:p>
    <w:p>
      <w:pPr>
        <w:adjustRightInd w:val="0"/>
        <w:snapToGrid w:val="0"/>
        <w:spacing w:line="360" w:lineRule="exact"/>
        <w:ind w:firstLine="480" w:firstLineChars="200"/>
        <w:rPr>
          <w:color w:val="auto"/>
          <w:sz w:val="24"/>
        </w:rPr>
      </w:pPr>
      <w:r>
        <w:rPr>
          <w:color w:val="auto"/>
          <w:sz w:val="24"/>
        </w:rPr>
        <w:t>5</w:t>
      </w:r>
      <w:r>
        <w:rPr>
          <w:rFonts w:hAnsi="宋体"/>
          <w:color w:val="auto"/>
          <w:sz w:val="24"/>
        </w:rPr>
        <w:t>、同意提供贵方可能要求的与其投标有关的一切数据或资料。</w:t>
      </w:r>
      <w:r>
        <w:rPr>
          <w:color w:val="auto"/>
          <w:sz w:val="24"/>
        </w:rPr>
        <w:t xml:space="preserve"> </w:t>
      </w:r>
    </w:p>
    <w:p>
      <w:pPr>
        <w:adjustRightInd w:val="0"/>
        <w:snapToGrid w:val="0"/>
        <w:spacing w:line="360" w:lineRule="exact"/>
        <w:ind w:firstLine="480" w:firstLineChars="200"/>
        <w:rPr>
          <w:color w:val="auto"/>
          <w:sz w:val="24"/>
        </w:rPr>
      </w:pPr>
      <w:r>
        <w:rPr>
          <w:color w:val="auto"/>
          <w:sz w:val="24"/>
        </w:rPr>
        <w:t>6</w:t>
      </w:r>
      <w:r>
        <w:rPr>
          <w:rFonts w:hAnsi="宋体"/>
          <w:color w:val="auto"/>
          <w:sz w:val="24"/>
        </w:rPr>
        <w:t>、</w:t>
      </w:r>
      <w:r>
        <w:rPr>
          <w:rFonts w:hAnsi="宋体"/>
          <w:b/>
          <w:bCs/>
          <w:color w:val="auto"/>
          <w:sz w:val="24"/>
        </w:rPr>
        <w:t>承担因投标文件内容虚假造成的一切后果及法律责任。</w:t>
      </w:r>
    </w:p>
    <w:p>
      <w:pPr>
        <w:adjustRightInd w:val="0"/>
        <w:snapToGrid w:val="0"/>
        <w:spacing w:line="360" w:lineRule="exact"/>
        <w:ind w:firstLine="480" w:firstLineChars="200"/>
        <w:rPr>
          <w:color w:val="auto"/>
          <w:sz w:val="24"/>
        </w:rPr>
      </w:pPr>
      <w:r>
        <w:rPr>
          <w:color w:val="auto"/>
          <w:sz w:val="24"/>
        </w:rPr>
        <w:t>7</w:t>
      </w:r>
      <w:r>
        <w:rPr>
          <w:rFonts w:hAnsi="宋体"/>
          <w:color w:val="auto"/>
          <w:sz w:val="24"/>
        </w:rPr>
        <w:t>、废标后，在收到贵方的通知后，我方本投标函签及所有投标文件中授权、声明、承诺等，对于贵方采用竞争性谈判采购仍然有效。我方遵守贵方招标文件关于特殊情形采用竞争性谈判采购的有关规定，并无异议。</w:t>
      </w:r>
    </w:p>
    <w:p>
      <w:pPr>
        <w:adjustRightInd w:val="0"/>
        <w:snapToGrid w:val="0"/>
        <w:spacing w:line="360" w:lineRule="exact"/>
        <w:ind w:firstLine="480" w:firstLineChars="200"/>
        <w:rPr>
          <w:color w:val="auto"/>
          <w:sz w:val="24"/>
        </w:rPr>
      </w:pPr>
      <w:r>
        <w:rPr>
          <w:color w:val="auto"/>
          <w:sz w:val="24"/>
        </w:rPr>
        <w:t>8</w:t>
      </w:r>
      <w:r>
        <w:rPr>
          <w:rFonts w:hAnsi="宋体"/>
          <w:color w:val="auto"/>
          <w:sz w:val="24"/>
        </w:rPr>
        <w:t>、与本投标有关的一切正式往来信函请寄：</w:t>
      </w:r>
    </w:p>
    <w:p>
      <w:pPr>
        <w:adjustRightInd w:val="0"/>
        <w:snapToGrid w:val="0"/>
        <w:spacing w:beforeLines="50" w:line="360" w:lineRule="exact"/>
        <w:rPr>
          <w:color w:val="auto"/>
          <w:sz w:val="24"/>
          <w:u w:val="single"/>
        </w:rPr>
      </w:pPr>
      <w:r>
        <w:rPr>
          <w:rFonts w:hAnsi="宋体"/>
          <w:color w:val="auto"/>
          <w:sz w:val="24"/>
        </w:rPr>
        <w:t>地址：</w:t>
      </w:r>
      <w:r>
        <w:rPr>
          <w:color w:val="auto"/>
          <w:sz w:val="24"/>
          <w:u w:val="single"/>
        </w:rPr>
        <w:t xml:space="preserve">              </w:t>
      </w:r>
      <w:r>
        <w:rPr>
          <w:rFonts w:hAnsi="宋体"/>
          <w:color w:val="auto"/>
          <w:sz w:val="24"/>
        </w:rPr>
        <w:t>邮编：</w:t>
      </w:r>
      <w:r>
        <w:rPr>
          <w:color w:val="auto"/>
          <w:sz w:val="24"/>
          <w:u w:val="single"/>
        </w:rPr>
        <w:t xml:space="preserve">             </w:t>
      </w:r>
      <w:r>
        <w:rPr>
          <w:rFonts w:hAnsi="宋体"/>
          <w:color w:val="auto"/>
          <w:sz w:val="24"/>
        </w:rPr>
        <w:t>电话：</w:t>
      </w:r>
      <w:r>
        <w:rPr>
          <w:color w:val="auto"/>
          <w:sz w:val="24"/>
          <w:u w:val="single"/>
        </w:rPr>
        <w:t xml:space="preserve">             </w:t>
      </w:r>
      <w:r>
        <w:rPr>
          <w:color w:val="auto"/>
          <w:sz w:val="24"/>
        </w:rPr>
        <w:t xml:space="preserve"> </w:t>
      </w:r>
      <w:r>
        <w:rPr>
          <w:rFonts w:hAnsi="宋体"/>
          <w:color w:val="auto"/>
          <w:sz w:val="24"/>
        </w:rPr>
        <w:t>传真：</w:t>
      </w:r>
      <w:r>
        <w:rPr>
          <w:color w:val="auto"/>
          <w:sz w:val="24"/>
          <w:u w:val="single"/>
        </w:rPr>
        <w:t xml:space="preserve">       </w:t>
      </w:r>
    </w:p>
    <w:p>
      <w:pPr>
        <w:pStyle w:val="22"/>
        <w:adjustRightInd w:val="0"/>
        <w:snapToGrid w:val="0"/>
        <w:spacing w:beforeLines="50" w:line="360" w:lineRule="exact"/>
        <w:rPr>
          <w:rFonts w:ascii="Times New Roman" w:hAnsi="Times New Roman"/>
          <w:color w:val="auto"/>
          <w:sz w:val="24"/>
        </w:rPr>
      </w:pPr>
      <w:r>
        <w:rPr>
          <w:rFonts w:ascii="Times New Roman" w:hAnsi="宋体"/>
          <w:color w:val="auto"/>
          <w:sz w:val="24"/>
        </w:rPr>
        <w:t>投标人名称</w:t>
      </w:r>
      <w:r>
        <w:rPr>
          <w:rFonts w:ascii="Times New Roman" w:hAnsi="Times New Roman"/>
          <w:color w:val="auto"/>
          <w:sz w:val="24"/>
        </w:rPr>
        <w:t>(</w:t>
      </w:r>
      <w:r>
        <w:rPr>
          <w:rFonts w:ascii="Times New Roman" w:hAnsi="宋体"/>
          <w:color w:val="auto"/>
          <w:sz w:val="24"/>
        </w:rPr>
        <w:t>盖章</w:t>
      </w:r>
      <w:r>
        <w:rPr>
          <w:rFonts w:ascii="Times New Roman" w:hAnsi="Times New Roman"/>
          <w:color w:val="auto"/>
          <w:sz w:val="24"/>
        </w:rPr>
        <w:t>)</w:t>
      </w:r>
      <w:r>
        <w:rPr>
          <w:rFonts w:ascii="Times New Roman" w:hAnsi="宋体"/>
          <w:color w:val="auto"/>
          <w:sz w:val="24"/>
        </w:rPr>
        <w:t>：</w:t>
      </w:r>
      <w:r>
        <w:rPr>
          <w:rFonts w:ascii="Times New Roman" w:hAnsi="Times New Roman"/>
          <w:color w:val="auto"/>
          <w:sz w:val="24"/>
          <w:u w:val="single"/>
        </w:rPr>
        <w:t xml:space="preserve">                             </w:t>
      </w:r>
    </w:p>
    <w:p>
      <w:pPr>
        <w:adjustRightInd w:val="0"/>
        <w:snapToGrid w:val="0"/>
        <w:spacing w:beforeLines="50" w:line="360" w:lineRule="exact"/>
        <w:rPr>
          <w:color w:val="auto"/>
          <w:sz w:val="24"/>
        </w:rPr>
      </w:pPr>
      <w:r>
        <w:rPr>
          <w:rFonts w:hint="eastAsia" w:hAnsi="宋体"/>
          <w:color w:val="auto"/>
          <w:sz w:val="24"/>
        </w:rPr>
        <w:t>法定代表人</w:t>
      </w:r>
      <w:r>
        <w:rPr>
          <w:rFonts w:hAnsi="宋体"/>
          <w:color w:val="auto"/>
          <w:sz w:val="24"/>
        </w:rPr>
        <w:t>（经营者）或其授权的代理人</w:t>
      </w:r>
      <w:r>
        <w:rPr>
          <w:color w:val="auto"/>
          <w:sz w:val="24"/>
        </w:rPr>
        <w:t>(</w:t>
      </w:r>
      <w:r>
        <w:rPr>
          <w:rFonts w:hAnsi="宋体"/>
          <w:color w:val="auto"/>
          <w:sz w:val="24"/>
        </w:rPr>
        <w:t>签字</w:t>
      </w:r>
      <w:r>
        <w:rPr>
          <w:color w:val="auto"/>
          <w:sz w:val="24"/>
        </w:rPr>
        <w:t>)</w:t>
      </w:r>
      <w:r>
        <w:rPr>
          <w:rFonts w:hAnsi="宋体"/>
          <w:color w:val="auto"/>
          <w:sz w:val="24"/>
        </w:rPr>
        <w:t>：</w:t>
      </w:r>
      <w:r>
        <w:rPr>
          <w:color w:val="auto"/>
          <w:sz w:val="24"/>
          <w:u w:val="single"/>
        </w:rPr>
        <w:t xml:space="preserve">           </w:t>
      </w:r>
      <w:r>
        <w:rPr>
          <w:rFonts w:hAnsi="宋体"/>
          <w:color w:val="auto"/>
          <w:sz w:val="24"/>
        </w:rPr>
        <w:t>日期：</w:t>
      </w:r>
      <w:r>
        <w:rPr>
          <w:color w:val="auto"/>
          <w:sz w:val="24"/>
          <w:u w:val="single"/>
        </w:rPr>
        <w:t xml:space="preserve">     </w:t>
      </w:r>
      <w:r>
        <w:rPr>
          <w:rFonts w:hAnsi="宋体"/>
          <w:color w:val="auto"/>
          <w:sz w:val="24"/>
        </w:rPr>
        <w:t>年</w:t>
      </w:r>
      <w:r>
        <w:rPr>
          <w:color w:val="auto"/>
          <w:sz w:val="24"/>
          <w:u w:val="single"/>
        </w:rPr>
        <w:t xml:space="preserve">  </w:t>
      </w:r>
      <w:r>
        <w:rPr>
          <w:rFonts w:hAnsi="宋体"/>
          <w:color w:val="auto"/>
          <w:sz w:val="24"/>
        </w:rPr>
        <w:t>月</w:t>
      </w:r>
      <w:r>
        <w:rPr>
          <w:color w:val="auto"/>
          <w:sz w:val="24"/>
          <w:u w:val="single"/>
        </w:rPr>
        <w:t xml:space="preserve">  </w:t>
      </w:r>
      <w:r>
        <w:rPr>
          <w:rFonts w:hAnsi="宋体"/>
          <w:color w:val="auto"/>
          <w:sz w:val="24"/>
        </w:rPr>
        <w:t>日</w:t>
      </w:r>
    </w:p>
    <w:p>
      <w:pPr>
        <w:adjustRightInd w:val="0"/>
        <w:snapToGrid w:val="0"/>
        <w:spacing w:beforeLines="50" w:line="360" w:lineRule="exact"/>
        <w:ind w:left="-88" w:leftChars="-42" w:firstLine="480" w:firstLineChars="200"/>
        <w:rPr>
          <w:color w:val="auto"/>
          <w:sz w:val="24"/>
        </w:rPr>
      </w:pPr>
      <w:r>
        <w:rPr>
          <w:rFonts w:hAnsi="宋体"/>
          <w:color w:val="auto"/>
          <w:sz w:val="24"/>
        </w:rPr>
        <w:t>注：除可填报项目外，对本投标函的任何修改将被视为非实质性响应投标，从而导致该投标被拒绝。</w:t>
      </w:r>
    </w:p>
    <w:p>
      <w:pPr>
        <w:snapToGrid w:val="0"/>
        <w:spacing w:beforeLines="100" w:afterLines="100" w:line="500" w:lineRule="exact"/>
        <w:jc w:val="left"/>
        <w:outlineLvl w:val="2"/>
        <w:rPr>
          <w:color w:val="auto"/>
          <w:sz w:val="24"/>
        </w:rPr>
      </w:pPr>
      <w:r>
        <w:rPr>
          <w:rFonts w:hAnsi="宋体"/>
          <w:b/>
          <w:bCs/>
          <w:color w:val="auto"/>
          <w:sz w:val="30"/>
          <w:szCs w:val="30"/>
        </w:rPr>
        <w:br w:type="page"/>
      </w:r>
      <w:r>
        <w:rPr>
          <w:rFonts w:hAnsi="宋体"/>
          <w:b/>
          <w:bCs/>
          <w:color w:val="auto"/>
          <w:sz w:val="30"/>
          <w:szCs w:val="30"/>
        </w:rPr>
        <w:t>附件</w:t>
      </w:r>
      <w:r>
        <w:rPr>
          <w:b/>
          <w:bCs/>
          <w:color w:val="auto"/>
          <w:sz w:val="30"/>
          <w:szCs w:val="30"/>
        </w:rPr>
        <w:t>2.</w:t>
      </w:r>
    </w:p>
    <w:p>
      <w:pPr>
        <w:snapToGrid w:val="0"/>
        <w:spacing w:beforeLines="100" w:afterLines="100" w:line="500" w:lineRule="exact"/>
        <w:jc w:val="center"/>
        <w:rPr>
          <w:color w:val="auto"/>
          <w:sz w:val="32"/>
          <w:szCs w:val="32"/>
        </w:rPr>
      </w:pPr>
      <w:r>
        <w:rPr>
          <w:rFonts w:hAnsi="宋体"/>
          <w:b/>
          <w:color w:val="auto"/>
          <w:sz w:val="30"/>
          <w:szCs w:val="30"/>
        </w:rPr>
        <w:t>开标一览表</w:t>
      </w:r>
    </w:p>
    <w:tbl>
      <w:tblPr>
        <w:tblStyle w:val="47"/>
        <w:tblW w:w="8755"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812"/>
        <w:gridCol w:w="4533"/>
        <w:gridCol w:w="241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722" w:hRule="exact"/>
        </w:trPr>
        <w:tc>
          <w:tcPr>
            <w:tcW w:w="1812" w:type="dxa"/>
            <w:tcBorders>
              <w:top w:val="single" w:color="auto" w:sz="12" w:space="0"/>
              <w:bottom w:val="single" w:color="auto" w:sz="12" w:space="0"/>
              <w:right w:val="single" w:color="auto" w:sz="12" w:space="0"/>
            </w:tcBorders>
            <w:vAlign w:val="center"/>
          </w:tcPr>
          <w:p>
            <w:pPr>
              <w:spacing w:line="460" w:lineRule="exact"/>
              <w:jc w:val="center"/>
              <w:rPr>
                <w:color w:val="auto"/>
                <w:sz w:val="24"/>
              </w:rPr>
            </w:pPr>
            <w:r>
              <w:rPr>
                <w:rFonts w:hAnsi="宋体"/>
                <w:color w:val="auto"/>
                <w:sz w:val="24"/>
              </w:rPr>
              <w:t>项目名称</w:t>
            </w:r>
          </w:p>
        </w:tc>
        <w:tc>
          <w:tcPr>
            <w:tcW w:w="6943" w:type="dxa"/>
            <w:gridSpan w:val="2"/>
            <w:tcBorders>
              <w:top w:val="single" w:color="auto" w:sz="12" w:space="0"/>
              <w:left w:val="single" w:color="auto" w:sz="12" w:space="0"/>
              <w:bottom w:val="single" w:color="auto" w:sz="12" w:space="0"/>
            </w:tcBorders>
            <w:vAlign w:val="center"/>
          </w:tcPr>
          <w:p>
            <w:pPr>
              <w:spacing w:line="360" w:lineRule="auto"/>
              <w:jc w:val="left"/>
              <w:rPr>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704" w:hRule="exact"/>
        </w:trPr>
        <w:tc>
          <w:tcPr>
            <w:tcW w:w="1812" w:type="dxa"/>
            <w:tcBorders>
              <w:top w:val="single" w:color="auto" w:sz="12" w:space="0"/>
              <w:right w:val="single" w:color="auto" w:sz="12" w:space="0"/>
            </w:tcBorders>
            <w:vAlign w:val="center"/>
          </w:tcPr>
          <w:p>
            <w:pPr>
              <w:spacing w:line="460" w:lineRule="exact"/>
              <w:jc w:val="center"/>
              <w:rPr>
                <w:color w:val="auto"/>
                <w:sz w:val="24"/>
              </w:rPr>
            </w:pPr>
            <w:r>
              <w:rPr>
                <w:rFonts w:hAnsi="宋体"/>
                <w:color w:val="auto"/>
                <w:sz w:val="24"/>
              </w:rPr>
              <w:t>项目编号</w:t>
            </w:r>
          </w:p>
        </w:tc>
        <w:tc>
          <w:tcPr>
            <w:tcW w:w="6943" w:type="dxa"/>
            <w:gridSpan w:val="2"/>
            <w:tcBorders>
              <w:top w:val="single" w:color="auto" w:sz="12" w:space="0"/>
              <w:left w:val="single" w:color="auto" w:sz="12" w:space="0"/>
            </w:tcBorders>
            <w:vAlign w:val="center"/>
          </w:tcPr>
          <w:p>
            <w:pPr>
              <w:rPr>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694" w:hRule="exact"/>
        </w:trPr>
        <w:tc>
          <w:tcPr>
            <w:tcW w:w="1812" w:type="dxa"/>
            <w:tcBorders>
              <w:bottom w:val="single" w:color="auto" w:sz="4" w:space="0"/>
              <w:right w:val="single" w:color="auto" w:sz="12" w:space="0"/>
            </w:tcBorders>
            <w:vAlign w:val="center"/>
          </w:tcPr>
          <w:p>
            <w:pPr>
              <w:spacing w:line="460" w:lineRule="exact"/>
              <w:ind w:firstLine="120" w:firstLineChars="50"/>
              <w:rPr>
                <w:color w:val="auto"/>
                <w:sz w:val="24"/>
              </w:rPr>
            </w:pPr>
            <w:r>
              <w:rPr>
                <w:rFonts w:hAnsi="宋体"/>
                <w:color w:val="auto"/>
                <w:sz w:val="24"/>
              </w:rPr>
              <w:t>投标人名称</w:t>
            </w:r>
          </w:p>
        </w:tc>
        <w:tc>
          <w:tcPr>
            <w:tcW w:w="6943" w:type="dxa"/>
            <w:gridSpan w:val="2"/>
            <w:tcBorders>
              <w:left w:val="single" w:color="auto" w:sz="12" w:space="0"/>
            </w:tcBorders>
          </w:tcPr>
          <w:p>
            <w:pPr>
              <w:pStyle w:val="24"/>
              <w:spacing w:line="460" w:lineRule="exact"/>
              <w:ind w:left="86" w:leftChars="41"/>
              <w:rPr>
                <w:rFonts w:eastAsia="宋体"/>
                <w:b w:val="0"/>
                <w:color w:val="auto"/>
                <w:spacing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826" w:hRule="atLeast"/>
        </w:trPr>
        <w:tc>
          <w:tcPr>
            <w:tcW w:w="1812" w:type="dxa"/>
            <w:tcBorders>
              <w:top w:val="single" w:color="auto" w:sz="4" w:space="0"/>
              <w:right w:val="single" w:color="auto" w:sz="12" w:space="0"/>
            </w:tcBorders>
            <w:vAlign w:val="center"/>
          </w:tcPr>
          <w:p>
            <w:pPr>
              <w:spacing w:line="460" w:lineRule="exact"/>
              <w:rPr>
                <w:rFonts w:hAnsi="宋体"/>
                <w:color w:val="auto"/>
                <w:sz w:val="24"/>
              </w:rPr>
            </w:pPr>
            <w:r>
              <w:rPr>
                <w:rFonts w:hint="eastAsia" w:hAnsi="宋体"/>
                <w:color w:val="auto"/>
                <w:sz w:val="24"/>
              </w:rPr>
              <w:t xml:space="preserve">   货物名称</w:t>
            </w:r>
          </w:p>
        </w:tc>
        <w:tc>
          <w:tcPr>
            <w:tcW w:w="4533" w:type="dxa"/>
            <w:tcBorders>
              <w:top w:val="single" w:color="auto" w:sz="4" w:space="0"/>
              <w:left w:val="single" w:color="auto" w:sz="12" w:space="0"/>
            </w:tcBorders>
            <w:vAlign w:val="center"/>
          </w:tcPr>
          <w:p>
            <w:pPr>
              <w:spacing w:line="460" w:lineRule="exact"/>
              <w:ind w:firstLine="1680" w:firstLineChars="700"/>
              <w:rPr>
                <w:rFonts w:hAnsi="宋体"/>
                <w:color w:val="auto"/>
                <w:sz w:val="24"/>
              </w:rPr>
            </w:pPr>
          </w:p>
        </w:tc>
        <w:tc>
          <w:tcPr>
            <w:tcW w:w="2410" w:type="dxa"/>
            <w:tcBorders>
              <w:left w:val="single" w:color="auto" w:sz="4" w:space="0"/>
            </w:tcBorders>
            <w:vAlign w:val="center"/>
          </w:tcPr>
          <w:p>
            <w:pPr>
              <w:spacing w:line="460" w:lineRule="exact"/>
              <w:ind w:firstLine="720" w:firstLineChars="300"/>
              <w:rPr>
                <w:rFonts w:hAnsi="宋体"/>
                <w:color w:val="auto"/>
                <w:sz w:val="24"/>
              </w:rPr>
            </w:pPr>
            <w:r>
              <w:rPr>
                <w:rFonts w:hint="eastAsia" w:hAnsi="宋体"/>
                <w:color w:val="auto"/>
                <w:sz w:val="24"/>
              </w:rPr>
              <w:t>交货期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868" w:hRule="atLeast"/>
        </w:trPr>
        <w:tc>
          <w:tcPr>
            <w:tcW w:w="1812" w:type="dxa"/>
            <w:tcBorders>
              <w:right w:val="single" w:color="auto" w:sz="12" w:space="0"/>
            </w:tcBorders>
            <w:vAlign w:val="center"/>
          </w:tcPr>
          <w:p>
            <w:pPr>
              <w:spacing w:line="460" w:lineRule="exact"/>
              <w:jc w:val="center"/>
              <w:rPr>
                <w:rFonts w:hAnsi="宋体"/>
                <w:color w:val="auto"/>
                <w:sz w:val="24"/>
              </w:rPr>
            </w:pPr>
            <w:r>
              <w:rPr>
                <w:rFonts w:hint="eastAsia" w:hAnsi="宋体"/>
                <w:color w:val="auto"/>
                <w:sz w:val="24"/>
              </w:rPr>
              <w:t>投标价格</w:t>
            </w:r>
          </w:p>
        </w:tc>
        <w:tc>
          <w:tcPr>
            <w:tcW w:w="4533" w:type="dxa"/>
            <w:tcBorders>
              <w:left w:val="single" w:color="auto" w:sz="12" w:space="0"/>
            </w:tcBorders>
            <w:vAlign w:val="center"/>
          </w:tcPr>
          <w:p>
            <w:pPr>
              <w:spacing w:line="460" w:lineRule="exact"/>
              <w:rPr>
                <w:rFonts w:hAnsi="宋体"/>
                <w:color w:val="auto"/>
                <w:sz w:val="24"/>
              </w:rPr>
            </w:pPr>
            <w:r>
              <w:rPr>
                <w:rFonts w:hint="eastAsia" w:hAnsi="宋体"/>
                <w:color w:val="auto"/>
                <w:sz w:val="24"/>
              </w:rPr>
              <w:t xml:space="preserve">                           元/套</w:t>
            </w:r>
          </w:p>
        </w:tc>
        <w:tc>
          <w:tcPr>
            <w:tcW w:w="2410" w:type="dxa"/>
            <w:tcBorders>
              <w:left w:val="single" w:color="auto" w:sz="4" w:space="0"/>
            </w:tcBorders>
            <w:vAlign w:val="center"/>
          </w:tcPr>
          <w:p>
            <w:pPr>
              <w:spacing w:line="460" w:lineRule="exact"/>
              <w:rPr>
                <w:rFonts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1428" w:hRule="exact"/>
        </w:trPr>
        <w:tc>
          <w:tcPr>
            <w:tcW w:w="1812" w:type="dxa"/>
            <w:tcBorders>
              <w:top w:val="single" w:color="auto" w:sz="4" w:space="0"/>
              <w:right w:val="single" w:color="auto" w:sz="12" w:space="0"/>
            </w:tcBorders>
            <w:vAlign w:val="center"/>
          </w:tcPr>
          <w:p>
            <w:pPr>
              <w:spacing w:line="360" w:lineRule="auto"/>
              <w:jc w:val="center"/>
              <w:rPr>
                <w:color w:val="auto"/>
                <w:sz w:val="24"/>
              </w:rPr>
            </w:pPr>
            <w:r>
              <w:rPr>
                <w:rFonts w:hAnsi="宋体"/>
                <w:color w:val="auto"/>
                <w:sz w:val="24"/>
              </w:rPr>
              <w:t>总投标价</w:t>
            </w:r>
          </w:p>
        </w:tc>
        <w:tc>
          <w:tcPr>
            <w:tcW w:w="6943" w:type="dxa"/>
            <w:gridSpan w:val="2"/>
            <w:tcBorders>
              <w:top w:val="single" w:color="auto" w:sz="4" w:space="0"/>
              <w:left w:val="single" w:color="auto" w:sz="12" w:space="0"/>
            </w:tcBorders>
            <w:vAlign w:val="center"/>
          </w:tcPr>
          <w:p>
            <w:pPr>
              <w:spacing w:line="360" w:lineRule="auto"/>
              <w:rPr>
                <w:rFonts w:hAnsi="宋体"/>
                <w:color w:val="auto"/>
                <w:sz w:val="24"/>
              </w:rPr>
            </w:pPr>
            <w:r>
              <w:rPr>
                <w:rFonts w:hAnsi="宋体"/>
                <w:color w:val="auto"/>
                <w:sz w:val="24"/>
              </w:rPr>
              <w:t>大写：</w:t>
            </w:r>
            <w:r>
              <w:rPr>
                <w:color w:val="auto"/>
                <w:sz w:val="24"/>
              </w:rPr>
              <w:t xml:space="preserve">                    </w:t>
            </w:r>
            <w:r>
              <w:rPr>
                <w:rFonts w:hAnsi="宋体"/>
                <w:color w:val="auto"/>
                <w:sz w:val="24"/>
              </w:rPr>
              <w:t>元</w:t>
            </w:r>
          </w:p>
          <w:p>
            <w:pPr>
              <w:spacing w:line="360" w:lineRule="auto"/>
              <w:rPr>
                <w:color w:val="auto"/>
                <w:sz w:val="24"/>
              </w:rPr>
            </w:pPr>
            <w:r>
              <w:rPr>
                <w:rFonts w:hAnsi="宋体"/>
                <w:color w:val="auto"/>
                <w:sz w:val="24"/>
              </w:rPr>
              <w:t>小写：</w:t>
            </w:r>
            <w:r>
              <w:rPr>
                <w:color w:val="auto"/>
                <w:sz w:val="24"/>
              </w:rPr>
              <w:t xml:space="preserve">      </w:t>
            </w:r>
            <w:r>
              <w:rPr>
                <w:rFonts w:hint="eastAsia"/>
                <w:color w:val="auto"/>
                <w:sz w:val="24"/>
              </w:rPr>
              <w:t xml:space="preserve"> </w:t>
            </w:r>
            <w:r>
              <w:rPr>
                <w:color w:val="auto"/>
                <w:sz w:val="24"/>
              </w:rPr>
              <w:t xml:space="preserve">             </w:t>
            </w:r>
            <w:r>
              <w:rPr>
                <w:rFonts w:hAnsi="宋体"/>
                <w:color w:val="auto"/>
                <w:sz w:val="24"/>
              </w:rPr>
              <w:t>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928" w:hRule="exact"/>
        </w:trPr>
        <w:tc>
          <w:tcPr>
            <w:tcW w:w="1812" w:type="dxa"/>
            <w:tcBorders>
              <w:right w:val="single" w:color="auto" w:sz="12" w:space="0"/>
            </w:tcBorders>
            <w:vAlign w:val="center"/>
          </w:tcPr>
          <w:p>
            <w:pPr>
              <w:spacing w:line="360" w:lineRule="auto"/>
              <w:jc w:val="center"/>
              <w:rPr>
                <w:color w:val="auto"/>
                <w:sz w:val="24"/>
              </w:rPr>
            </w:pPr>
            <w:r>
              <w:rPr>
                <w:rFonts w:hAnsi="宋体"/>
                <w:color w:val="auto"/>
                <w:sz w:val="24"/>
              </w:rPr>
              <w:t>投标保证金</w:t>
            </w:r>
          </w:p>
        </w:tc>
        <w:tc>
          <w:tcPr>
            <w:tcW w:w="6943" w:type="dxa"/>
            <w:gridSpan w:val="2"/>
            <w:tcBorders>
              <w:left w:val="single" w:color="auto" w:sz="12" w:space="0"/>
            </w:tcBorders>
            <w:vAlign w:val="center"/>
          </w:tcPr>
          <w:p>
            <w:pPr>
              <w:spacing w:line="360" w:lineRule="auto"/>
              <w:rPr>
                <w:color w:val="auto"/>
                <w:sz w:val="24"/>
              </w:rPr>
            </w:pPr>
            <w:r>
              <w:rPr>
                <w:rFonts w:hAnsi="宋体"/>
                <w:color w:val="auto"/>
                <w:sz w:val="24"/>
              </w:rPr>
              <w:t>附：投标保证金汇出凭证的复印件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1087" w:hRule="exact"/>
        </w:trPr>
        <w:tc>
          <w:tcPr>
            <w:tcW w:w="1812" w:type="dxa"/>
            <w:tcBorders>
              <w:right w:val="single" w:color="auto" w:sz="12" w:space="0"/>
            </w:tcBorders>
            <w:vAlign w:val="center"/>
          </w:tcPr>
          <w:p>
            <w:pPr>
              <w:spacing w:line="360" w:lineRule="auto"/>
              <w:jc w:val="center"/>
              <w:rPr>
                <w:color w:val="auto"/>
                <w:sz w:val="24"/>
              </w:rPr>
            </w:pPr>
            <w:r>
              <w:rPr>
                <w:rFonts w:hAnsi="宋体"/>
                <w:color w:val="auto"/>
                <w:sz w:val="24"/>
              </w:rPr>
              <w:t>备注</w:t>
            </w:r>
          </w:p>
        </w:tc>
        <w:tc>
          <w:tcPr>
            <w:tcW w:w="6943" w:type="dxa"/>
            <w:gridSpan w:val="2"/>
            <w:tcBorders>
              <w:left w:val="single" w:color="auto" w:sz="12" w:space="0"/>
            </w:tcBorders>
            <w:vAlign w:val="center"/>
          </w:tcPr>
          <w:p>
            <w:pPr>
              <w:spacing w:line="360" w:lineRule="auto"/>
              <w:rPr>
                <w:color w:val="auto"/>
                <w:sz w:val="24"/>
              </w:rPr>
            </w:pPr>
          </w:p>
        </w:tc>
      </w:tr>
    </w:tbl>
    <w:p>
      <w:pPr>
        <w:snapToGrid w:val="0"/>
        <w:spacing w:line="460" w:lineRule="exact"/>
        <w:ind w:left="2940" w:leftChars="1400" w:firstLine="723" w:firstLineChars="300"/>
        <w:rPr>
          <w:b/>
          <w:color w:val="auto"/>
          <w:sz w:val="24"/>
        </w:rPr>
      </w:pPr>
    </w:p>
    <w:p>
      <w:pPr>
        <w:spacing w:line="460" w:lineRule="exact"/>
        <w:ind w:firstLine="120" w:firstLineChars="50"/>
        <w:jc w:val="left"/>
        <w:rPr>
          <w:color w:val="auto"/>
          <w:sz w:val="24"/>
        </w:rPr>
      </w:pPr>
      <w:r>
        <w:rPr>
          <w:rFonts w:hint="eastAsia" w:hAnsi="宋体"/>
          <w:color w:val="auto"/>
          <w:sz w:val="24"/>
        </w:rPr>
        <w:t>法定代表人</w:t>
      </w:r>
      <w:r>
        <w:rPr>
          <w:rFonts w:hAnsi="宋体"/>
          <w:color w:val="auto"/>
          <w:sz w:val="24"/>
        </w:rPr>
        <w:t>（经营者）或其委托代理人签字：</w:t>
      </w:r>
      <w:r>
        <w:rPr>
          <w:color w:val="auto"/>
          <w:sz w:val="24"/>
        </w:rPr>
        <w:t xml:space="preserve">          </w:t>
      </w:r>
    </w:p>
    <w:p>
      <w:pPr>
        <w:spacing w:line="460" w:lineRule="exact"/>
        <w:jc w:val="left"/>
        <w:rPr>
          <w:color w:val="auto"/>
          <w:sz w:val="24"/>
        </w:rPr>
      </w:pPr>
      <w:r>
        <w:rPr>
          <w:color w:val="auto"/>
          <w:sz w:val="24"/>
        </w:rPr>
        <w:t xml:space="preserve"> </w:t>
      </w:r>
      <w:r>
        <w:rPr>
          <w:rFonts w:hAnsi="宋体"/>
          <w:color w:val="auto"/>
          <w:sz w:val="24"/>
        </w:rPr>
        <w:t>投标人盖章：</w:t>
      </w:r>
      <w:r>
        <w:rPr>
          <w:color w:val="auto"/>
          <w:sz w:val="24"/>
        </w:rPr>
        <w:t xml:space="preserve">                                                 </w:t>
      </w:r>
    </w:p>
    <w:p>
      <w:pPr>
        <w:spacing w:line="460" w:lineRule="exact"/>
        <w:jc w:val="left"/>
        <w:rPr>
          <w:color w:val="auto"/>
          <w:sz w:val="24"/>
        </w:rPr>
      </w:pPr>
      <w:r>
        <w:rPr>
          <w:color w:val="auto"/>
          <w:sz w:val="24"/>
        </w:rPr>
        <w:t xml:space="preserve"> </w:t>
      </w:r>
      <w:r>
        <w:rPr>
          <w:rFonts w:hAnsi="宋体"/>
          <w:color w:val="auto"/>
          <w:sz w:val="24"/>
        </w:rPr>
        <w:t>日</w:t>
      </w:r>
      <w:r>
        <w:rPr>
          <w:color w:val="auto"/>
          <w:sz w:val="24"/>
        </w:rPr>
        <w:t xml:space="preserve">  </w:t>
      </w:r>
      <w:r>
        <w:rPr>
          <w:rFonts w:hAnsi="宋体"/>
          <w:color w:val="auto"/>
          <w:sz w:val="24"/>
        </w:rPr>
        <w:t>期：</w:t>
      </w:r>
      <w:r>
        <w:rPr>
          <w:color w:val="auto"/>
          <w:sz w:val="24"/>
        </w:rPr>
        <w:t xml:space="preserve">    </w:t>
      </w:r>
      <w:r>
        <w:rPr>
          <w:rFonts w:hAnsi="宋体"/>
          <w:color w:val="auto"/>
          <w:sz w:val="24"/>
        </w:rPr>
        <w:t>年</w:t>
      </w:r>
      <w:r>
        <w:rPr>
          <w:color w:val="auto"/>
          <w:sz w:val="24"/>
        </w:rPr>
        <w:t xml:space="preserve">  </w:t>
      </w:r>
      <w:r>
        <w:rPr>
          <w:rFonts w:hAnsi="宋体"/>
          <w:color w:val="auto"/>
          <w:sz w:val="24"/>
        </w:rPr>
        <w:t>月</w:t>
      </w:r>
      <w:r>
        <w:rPr>
          <w:color w:val="auto"/>
          <w:sz w:val="24"/>
        </w:rPr>
        <w:t xml:space="preserve">  </w:t>
      </w:r>
      <w:r>
        <w:rPr>
          <w:rFonts w:hAnsi="宋体"/>
          <w:color w:val="auto"/>
          <w:sz w:val="24"/>
        </w:rPr>
        <w:t>日</w:t>
      </w:r>
      <w:r>
        <w:rPr>
          <w:color w:val="auto"/>
          <w:sz w:val="24"/>
        </w:rPr>
        <w:t xml:space="preserve"> </w:t>
      </w:r>
    </w:p>
    <w:p>
      <w:pPr>
        <w:spacing w:line="460" w:lineRule="exact"/>
        <w:jc w:val="left"/>
        <w:rPr>
          <w:color w:val="auto"/>
          <w:sz w:val="24"/>
        </w:rPr>
      </w:pPr>
      <w:r>
        <w:rPr>
          <w:rFonts w:hAnsi="宋体"/>
          <w:color w:val="auto"/>
          <w:sz w:val="24"/>
        </w:rPr>
        <w:t>说明：</w:t>
      </w:r>
    </w:p>
    <w:p>
      <w:pPr>
        <w:spacing w:line="460" w:lineRule="exact"/>
        <w:jc w:val="left"/>
        <w:rPr>
          <w:color w:val="auto"/>
          <w:sz w:val="24"/>
        </w:rPr>
      </w:pPr>
      <w:r>
        <w:rPr>
          <w:color w:val="auto"/>
          <w:sz w:val="24"/>
        </w:rPr>
        <w:t>1</w:t>
      </w:r>
      <w:r>
        <w:rPr>
          <w:rFonts w:hAnsi="宋体"/>
          <w:color w:val="auto"/>
          <w:sz w:val="24"/>
        </w:rPr>
        <w:t>、开标一览表按分包填列，每一分包单独一张表；</w:t>
      </w:r>
    </w:p>
    <w:p>
      <w:pPr>
        <w:spacing w:line="460" w:lineRule="exact"/>
        <w:jc w:val="left"/>
        <w:rPr>
          <w:color w:val="auto"/>
          <w:sz w:val="24"/>
        </w:rPr>
      </w:pPr>
      <w:r>
        <w:rPr>
          <w:color w:val="auto"/>
          <w:sz w:val="24"/>
        </w:rPr>
        <w:t>2</w:t>
      </w:r>
      <w:r>
        <w:rPr>
          <w:rFonts w:hAnsi="宋体"/>
          <w:color w:val="auto"/>
          <w:sz w:val="24"/>
        </w:rPr>
        <w:t>、开标一览表在开标大会上当众宣读，务必填写清楚，准确无误。</w:t>
      </w:r>
    </w:p>
    <w:p>
      <w:pPr>
        <w:spacing w:line="460" w:lineRule="exact"/>
        <w:jc w:val="left"/>
        <w:rPr>
          <w:color w:val="auto"/>
          <w:sz w:val="24"/>
        </w:rPr>
      </w:pPr>
      <w:r>
        <w:rPr>
          <w:color w:val="auto"/>
          <w:sz w:val="24"/>
        </w:rPr>
        <w:t>3</w:t>
      </w:r>
      <w:r>
        <w:rPr>
          <w:rFonts w:hAnsi="宋体"/>
          <w:color w:val="auto"/>
          <w:sz w:val="24"/>
        </w:rPr>
        <w:t>、该表可扩展为其他分包。</w:t>
      </w:r>
    </w:p>
    <w:p>
      <w:pPr>
        <w:snapToGrid w:val="0"/>
        <w:spacing w:beforeLines="100" w:afterLines="100" w:line="500" w:lineRule="exact"/>
        <w:jc w:val="left"/>
        <w:outlineLvl w:val="2"/>
        <w:rPr>
          <w:rFonts w:hAnsi="宋体"/>
          <w:color w:val="auto"/>
          <w:sz w:val="24"/>
        </w:rPr>
      </w:pPr>
      <w:r>
        <w:rPr>
          <w:color w:val="auto"/>
          <w:sz w:val="24"/>
        </w:rPr>
        <w:br w:type="page"/>
      </w:r>
      <w:r>
        <w:rPr>
          <w:rFonts w:hAnsi="宋体"/>
          <w:b/>
          <w:bCs/>
          <w:color w:val="auto"/>
          <w:sz w:val="30"/>
          <w:szCs w:val="30"/>
        </w:rPr>
        <w:t>附件</w:t>
      </w:r>
      <w:r>
        <w:rPr>
          <w:b/>
          <w:bCs/>
          <w:color w:val="auto"/>
          <w:sz w:val="30"/>
          <w:szCs w:val="30"/>
        </w:rPr>
        <w:t>3.</w:t>
      </w:r>
      <w:r>
        <w:rPr>
          <w:rFonts w:hAnsi="宋体"/>
          <w:b/>
          <w:color w:val="auto"/>
          <w:sz w:val="30"/>
          <w:szCs w:val="30"/>
        </w:rPr>
        <w:t>投标货物报价详细说明表</w:t>
      </w:r>
      <w:r>
        <w:rPr>
          <w:b/>
          <w:color w:val="auto"/>
          <w:sz w:val="30"/>
          <w:szCs w:val="30"/>
        </w:rPr>
        <w:t xml:space="preserve">               </w:t>
      </w:r>
      <w:r>
        <w:rPr>
          <w:rFonts w:hAnsi="宋体"/>
          <w:color w:val="auto"/>
          <w:sz w:val="24"/>
        </w:rPr>
        <w:t>采购项目名称：</w:t>
      </w:r>
    </w:p>
    <w:tbl>
      <w:tblPr>
        <w:tblStyle w:val="47"/>
        <w:tblW w:w="896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709"/>
        <w:gridCol w:w="2372"/>
        <w:gridCol w:w="1418"/>
        <w:gridCol w:w="1163"/>
        <w:gridCol w:w="1156"/>
        <w:gridCol w:w="11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atLeast"/>
          <w:tblHeader/>
          <w:jc w:val="center"/>
        </w:trPr>
        <w:tc>
          <w:tcPr>
            <w:tcW w:w="992" w:type="dxa"/>
            <w:tcBorders>
              <w:top w:val="single" w:color="auto" w:sz="4" w:space="0"/>
              <w:left w:val="single" w:color="auto" w:sz="4" w:space="0"/>
              <w:bottom w:val="single" w:color="auto" w:sz="4" w:space="0"/>
              <w:right w:val="single" w:color="auto" w:sz="4" w:space="0"/>
            </w:tcBorders>
            <w:vAlign w:val="center"/>
          </w:tcPr>
          <w:p>
            <w:pPr>
              <w:tabs>
                <w:tab w:val="left" w:pos="645"/>
              </w:tabs>
              <w:jc w:val="center"/>
              <w:rPr>
                <w:rFonts w:ascii="宋体" w:hAnsi="宋体"/>
                <w:b/>
                <w:color w:val="auto"/>
                <w:spacing w:val="-2"/>
                <w:sz w:val="18"/>
                <w:szCs w:val="18"/>
              </w:rPr>
            </w:pPr>
            <w:r>
              <w:rPr>
                <w:rFonts w:hint="eastAsia" w:ascii="宋体" w:hAnsi="宋体"/>
                <w:b/>
                <w:color w:val="auto"/>
                <w:sz w:val="18"/>
                <w:szCs w:val="18"/>
              </w:rPr>
              <w:t>项目名称</w:t>
            </w:r>
          </w:p>
        </w:tc>
        <w:tc>
          <w:tcPr>
            <w:tcW w:w="709" w:type="dxa"/>
            <w:tcBorders>
              <w:top w:val="single" w:color="auto" w:sz="4" w:space="0"/>
              <w:left w:val="single" w:color="auto" w:sz="4" w:space="0"/>
              <w:bottom w:val="single" w:color="auto" w:sz="4" w:space="0"/>
              <w:right w:val="single" w:color="auto" w:sz="4" w:space="0"/>
            </w:tcBorders>
            <w:vAlign w:val="center"/>
          </w:tcPr>
          <w:p>
            <w:pPr>
              <w:tabs>
                <w:tab w:val="left" w:pos="645"/>
              </w:tabs>
              <w:jc w:val="center"/>
              <w:rPr>
                <w:rFonts w:ascii="宋体" w:hAnsi="宋体"/>
                <w:b/>
                <w:color w:val="auto"/>
                <w:spacing w:val="-2"/>
                <w:sz w:val="18"/>
                <w:szCs w:val="18"/>
              </w:rPr>
            </w:pPr>
            <w:r>
              <w:rPr>
                <w:rFonts w:hint="eastAsia" w:ascii="宋体" w:hAnsi="宋体"/>
                <w:b/>
                <w:color w:val="auto"/>
                <w:spacing w:val="-2"/>
                <w:sz w:val="18"/>
                <w:szCs w:val="18"/>
              </w:rPr>
              <w:t>序号</w:t>
            </w:r>
          </w:p>
        </w:tc>
        <w:tc>
          <w:tcPr>
            <w:tcW w:w="237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sz w:val="18"/>
                <w:szCs w:val="18"/>
              </w:rPr>
            </w:pPr>
            <w:r>
              <w:rPr>
                <w:rFonts w:hint="eastAsia" w:ascii="宋体" w:hAnsi="宋体"/>
                <w:b/>
                <w:color w:val="auto"/>
                <w:sz w:val="18"/>
                <w:szCs w:val="18"/>
              </w:rPr>
              <w:t>品名</w:t>
            </w: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sz w:val="18"/>
                <w:szCs w:val="18"/>
              </w:rPr>
            </w:pPr>
            <w:r>
              <w:rPr>
                <w:rFonts w:hint="eastAsia" w:ascii="宋体" w:hAnsi="宋体"/>
                <w:b/>
                <w:color w:val="auto"/>
                <w:sz w:val="18"/>
                <w:szCs w:val="18"/>
              </w:rPr>
              <w:t>规格</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sz w:val="18"/>
                <w:szCs w:val="18"/>
              </w:rPr>
            </w:pPr>
            <w:r>
              <w:rPr>
                <w:rFonts w:hint="eastAsia" w:ascii="宋体" w:hAnsi="宋体"/>
                <w:b/>
                <w:color w:val="auto"/>
                <w:sz w:val="18"/>
                <w:szCs w:val="18"/>
              </w:rPr>
              <w:t>数量</w:t>
            </w:r>
          </w:p>
        </w:tc>
        <w:tc>
          <w:tcPr>
            <w:tcW w:w="115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sz w:val="18"/>
                <w:szCs w:val="18"/>
              </w:rPr>
            </w:pPr>
            <w:r>
              <w:rPr>
                <w:rFonts w:hint="eastAsia" w:ascii="宋体" w:hAnsi="宋体"/>
                <w:b/>
                <w:color w:val="auto"/>
                <w:sz w:val="18"/>
                <w:szCs w:val="18"/>
              </w:rPr>
              <w:t>报价</w:t>
            </w:r>
          </w:p>
        </w:tc>
        <w:tc>
          <w:tcPr>
            <w:tcW w:w="115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sz w:val="18"/>
                <w:szCs w:val="18"/>
              </w:rPr>
            </w:pPr>
            <w:r>
              <w:rPr>
                <w:rFonts w:hint="eastAsia" w:ascii="宋体" w:hAnsi="宋体"/>
                <w:b/>
                <w:color w:val="auto"/>
                <w:sz w:val="18"/>
                <w:szCs w:val="18"/>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jc w:val="center"/>
        </w:trPr>
        <w:tc>
          <w:tcPr>
            <w:tcW w:w="992" w:type="dxa"/>
            <w:vMerge w:val="restart"/>
            <w:tcBorders>
              <w:top w:val="single" w:color="auto" w:sz="4" w:space="0"/>
              <w:left w:val="single" w:color="auto" w:sz="4" w:space="0"/>
              <w:right w:val="single" w:color="auto" w:sz="4" w:space="0"/>
            </w:tcBorders>
            <w:vAlign w:val="center"/>
          </w:tcPr>
          <w:p>
            <w:pPr>
              <w:tabs>
                <w:tab w:val="left" w:pos="645"/>
              </w:tabs>
              <w:jc w:val="center"/>
              <w:rPr>
                <w:rFonts w:ascii="宋体" w:hAnsi="宋体"/>
                <w:b/>
                <w:color w:val="auto"/>
                <w:spacing w:val="-2"/>
                <w:sz w:val="18"/>
                <w:szCs w:val="18"/>
              </w:rPr>
            </w:pPr>
          </w:p>
        </w:tc>
        <w:tc>
          <w:tcPr>
            <w:tcW w:w="709" w:type="dxa"/>
            <w:tcBorders>
              <w:top w:val="single" w:color="auto" w:sz="4" w:space="0"/>
              <w:left w:val="single" w:color="auto" w:sz="4" w:space="0"/>
              <w:bottom w:val="single" w:color="auto" w:sz="4" w:space="0"/>
              <w:right w:val="single" w:color="auto" w:sz="4" w:space="0"/>
            </w:tcBorders>
            <w:vAlign w:val="center"/>
          </w:tcPr>
          <w:p>
            <w:pPr>
              <w:tabs>
                <w:tab w:val="left" w:pos="645"/>
              </w:tabs>
              <w:jc w:val="center"/>
              <w:rPr>
                <w:rFonts w:ascii="宋体" w:hAnsi="宋体"/>
                <w:b/>
                <w:color w:val="auto"/>
                <w:spacing w:val="-2"/>
                <w:sz w:val="18"/>
                <w:szCs w:val="18"/>
              </w:rPr>
            </w:pPr>
            <w:r>
              <w:rPr>
                <w:rFonts w:hint="eastAsia" w:ascii="宋体" w:hAnsi="宋体"/>
                <w:b/>
                <w:color w:val="auto"/>
                <w:spacing w:val="-2"/>
                <w:sz w:val="18"/>
                <w:szCs w:val="18"/>
              </w:rPr>
              <w:t>1</w:t>
            </w:r>
          </w:p>
        </w:tc>
        <w:tc>
          <w:tcPr>
            <w:tcW w:w="237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sz w:val="18"/>
                <w:szCs w:val="18"/>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sz w:val="18"/>
                <w:szCs w:val="18"/>
              </w:rPr>
            </w:pP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sz w:val="18"/>
                <w:szCs w:val="18"/>
              </w:rPr>
            </w:pPr>
          </w:p>
        </w:tc>
        <w:tc>
          <w:tcPr>
            <w:tcW w:w="1156" w:type="dxa"/>
            <w:tcBorders>
              <w:top w:val="single" w:color="auto" w:sz="4" w:space="0"/>
              <w:left w:val="single" w:color="auto" w:sz="4" w:space="0"/>
              <w:right w:val="single" w:color="auto" w:sz="4" w:space="0"/>
            </w:tcBorders>
            <w:vAlign w:val="center"/>
          </w:tcPr>
          <w:p>
            <w:pPr>
              <w:jc w:val="center"/>
              <w:rPr>
                <w:rFonts w:ascii="宋体" w:hAnsi="宋体"/>
                <w:b/>
                <w:color w:val="auto"/>
                <w:sz w:val="18"/>
                <w:szCs w:val="18"/>
              </w:rPr>
            </w:pPr>
          </w:p>
        </w:tc>
        <w:tc>
          <w:tcPr>
            <w:tcW w:w="1156" w:type="dxa"/>
            <w:vMerge w:val="restart"/>
            <w:tcBorders>
              <w:top w:val="single" w:color="auto" w:sz="4" w:space="0"/>
              <w:left w:val="single" w:color="auto" w:sz="4" w:space="0"/>
              <w:right w:val="single" w:color="auto" w:sz="4" w:space="0"/>
            </w:tcBorders>
            <w:vAlign w:val="center"/>
          </w:tcPr>
          <w:p>
            <w:pPr>
              <w:jc w:val="center"/>
              <w:rPr>
                <w:rFonts w:ascii="宋体" w:hAnsi="宋体"/>
                <w:b/>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4" w:hRule="atLeast"/>
          <w:jc w:val="center"/>
        </w:trPr>
        <w:tc>
          <w:tcPr>
            <w:tcW w:w="992" w:type="dxa"/>
            <w:vMerge w:val="continue"/>
            <w:tcBorders>
              <w:left w:val="single" w:color="auto" w:sz="4" w:space="0"/>
              <w:right w:val="single" w:color="auto" w:sz="4" w:space="0"/>
            </w:tcBorders>
            <w:vAlign w:val="center"/>
          </w:tcPr>
          <w:p>
            <w:pPr>
              <w:tabs>
                <w:tab w:val="left" w:pos="645"/>
              </w:tabs>
              <w:jc w:val="center"/>
              <w:rPr>
                <w:rFonts w:ascii="宋体" w:hAnsi="宋体"/>
                <w:b/>
                <w:color w:val="auto"/>
                <w:spacing w:val="-2"/>
                <w:sz w:val="18"/>
                <w:szCs w:val="18"/>
              </w:rPr>
            </w:pPr>
          </w:p>
        </w:tc>
        <w:tc>
          <w:tcPr>
            <w:tcW w:w="709" w:type="dxa"/>
            <w:tcBorders>
              <w:top w:val="single" w:color="auto" w:sz="4" w:space="0"/>
              <w:left w:val="single" w:color="auto" w:sz="4" w:space="0"/>
              <w:bottom w:val="single" w:color="auto" w:sz="4" w:space="0"/>
              <w:right w:val="single" w:color="auto" w:sz="4" w:space="0"/>
            </w:tcBorders>
            <w:vAlign w:val="center"/>
          </w:tcPr>
          <w:p>
            <w:pPr>
              <w:tabs>
                <w:tab w:val="left" w:pos="645"/>
              </w:tabs>
              <w:jc w:val="center"/>
              <w:rPr>
                <w:rFonts w:ascii="宋体" w:hAnsi="宋体"/>
                <w:b/>
                <w:color w:val="auto"/>
                <w:spacing w:val="-2"/>
                <w:sz w:val="18"/>
                <w:szCs w:val="18"/>
              </w:rPr>
            </w:pPr>
            <w:r>
              <w:rPr>
                <w:rFonts w:hint="eastAsia" w:ascii="宋体" w:hAnsi="宋体"/>
                <w:b/>
                <w:color w:val="auto"/>
                <w:spacing w:val="-2"/>
                <w:sz w:val="18"/>
                <w:szCs w:val="18"/>
              </w:rPr>
              <w:t>2</w:t>
            </w:r>
          </w:p>
        </w:tc>
        <w:tc>
          <w:tcPr>
            <w:tcW w:w="237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sz w:val="18"/>
                <w:szCs w:val="18"/>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sz w:val="18"/>
                <w:szCs w:val="18"/>
              </w:rPr>
            </w:pP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sz w:val="18"/>
                <w:szCs w:val="18"/>
              </w:rPr>
            </w:pPr>
          </w:p>
        </w:tc>
        <w:tc>
          <w:tcPr>
            <w:tcW w:w="1156" w:type="dxa"/>
            <w:tcBorders>
              <w:left w:val="single" w:color="auto" w:sz="4" w:space="0"/>
              <w:right w:val="single" w:color="auto" w:sz="4" w:space="0"/>
            </w:tcBorders>
            <w:vAlign w:val="center"/>
          </w:tcPr>
          <w:p>
            <w:pPr>
              <w:jc w:val="center"/>
              <w:rPr>
                <w:rFonts w:ascii="宋体" w:hAnsi="宋体"/>
                <w:b/>
                <w:color w:val="auto"/>
                <w:sz w:val="18"/>
                <w:szCs w:val="18"/>
              </w:rPr>
            </w:pPr>
          </w:p>
        </w:tc>
        <w:tc>
          <w:tcPr>
            <w:tcW w:w="1156" w:type="dxa"/>
            <w:vMerge w:val="continue"/>
            <w:tcBorders>
              <w:left w:val="single" w:color="auto" w:sz="4" w:space="0"/>
              <w:right w:val="single" w:color="auto" w:sz="4" w:space="0"/>
            </w:tcBorders>
          </w:tcPr>
          <w:p>
            <w:pPr>
              <w:jc w:val="center"/>
              <w:rPr>
                <w:rFonts w:ascii="宋体" w:hAnsi="宋体"/>
                <w:b/>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92" w:type="dxa"/>
            <w:vMerge w:val="continue"/>
            <w:tcBorders>
              <w:left w:val="single" w:color="auto" w:sz="4" w:space="0"/>
              <w:right w:val="single" w:color="auto" w:sz="4" w:space="0"/>
            </w:tcBorders>
            <w:vAlign w:val="center"/>
          </w:tcPr>
          <w:p>
            <w:pPr>
              <w:tabs>
                <w:tab w:val="left" w:pos="645"/>
              </w:tabs>
              <w:jc w:val="center"/>
              <w:rPr>
                <w:rFonts w:ascii="宋体" w:hAnsi="宋体"/>
                <w:b/>
                <w:color w:val="auto"/>
                <w:spacing w:val="-2"/>
                <w:sz w:val="18"/>
                <w:szCs w:val="18"/>
              </w:rPr>
            </w:pPr>
          </w:p>
        </w:tc>
        <w:tc>
          <w:tcPr>
            <w:tcW w:w="709" w:type="dxa"/>
            <w:tcBorders>
              <w:top w:val="single" w:color="auto" w:sz="4" w:space="0"/>
              <w:left w:val="single" w:color="auto" w:sz="4" w:space="0"/>
              <w:bottom w:val="single" w:color="auto" w:sz="4" w:space="0"/>
              <w:right w:val="single" w:color="auto" w:sz="4" w:space="0"/>
            </w:tcBorders>
            <w:vAlign w:val="center"/>
          </w:tcPr>
          <w:p>
            <w:pPr>
              <w:tabs>
                <w:tab w:val="left" w:pos="645"/>
              </w:tabs>
              <w:jc w:val="center"/>
              <w:rPr>
                <w:rFonts w:ascii="宋体" w:hAnsi="宋体"/>
                <w:b/>
                <w:color w:val="auto"/>
                <w:spacing w:val="-2"/>
                <w:sz w:val="18"/>
                <w:szCs w:val="18"/>
              </w:rPr>
            </w:pPr>
            <w:r>
              <w:rPr>
                <w:rFonts w:hint="eastAsia" w:ascii="宋体" w:hAnsi="宋体"/>
                <w:b/>
                <w:color w:val="auto"/>
                <w:spacing w:val="-2"/>
                <w:sz w:val="18"/>
                <w:szCs w:val="18"/>
              </w:rPr>
              <w:t>3</w:t>
            </w:r>
          </w:p>
        </w:tc>
        <w:tc>
          <w:tcPr>
            <w:tcW w:w="237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sz w:val="18"/>
                <w:szCs w:val="18"/>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sz w:val="18"/>
                <w:szCs w:val="18"/>
              </w:rPr>
            </w:pP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sz w:val="18"/>
                <w:szCs w:val="18"/>
              </w:rPr>
            </w:pPr>
          </w:p>
        </w:tc>
        <w:tc>
          <w:tcPr>
            <w:tcW w:w="1156" w:type="dxa"/>
            <w:tcBorders>
              <w:left w:val="single" w:color="auto" w:sz="4" w:space="0"/>
              <w:right w:val="single" w:color="auto" w:sz="4" w:space="0"/>
            </w:tcBorders>
            <w:vAlign w:val="center"/>
          </w:tcPr>
          <w:p>
            <w:pPr>
              <w:jc w:val="center"/>
              <w:rPr>
                <w:rFonts w:ascii="宋体" w:hAnsi="宋体"/>
                <w:b/>
                <w:color w:val="auto"/>
                <w:sz w:val="18"/>
                <w:szCs w:val="18"/>
              </w:rPr>
            </w:pPr>
          </w:p>
        </w:tc>
        <w:tc>
          <w:tcPr>
            <w:tcW w:w="1156" w:type="dxa"/>
            <w:vMerge w:val="continue"/>
            <w:tcBorders>
              <w:left w:val="single" w:color="auto" w:sz="4" w:space="0"/>
              <w:right w:val="single" w:color="auto" w:sz="4" w:space="0"/>
            </w:tcBorders>
          </w:tcPr>
          <w:p>
            <w:pPr>
              <w:jc w:val="center"/>
              <w:rPr>
                <w:rFonts w:ascii="宋体" w:hAnsi="宋体"/>
                <w:b/>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5" w:hRule="atLeast"/>
          <w:jc w:val="center"/>
        </w:trPr>
        <w:tc>
          <w:tcPr>
            <w:tcW w:w="992" w:type="dxa"/>
            <w:vMerge w:val="continue"/>
            <w:tcBorders>
              <w:left w:val="single" w:color="auto" w:sz="4" w:space="0"/>
              <w:right w:val="single" w:color="auto" w:sz="4" w:space="0"/>
            </w:tcBorders>
            <w:vAlign w:val="center"/>
          </w:tcPr>
          <w:p>
            <w:pPr>
              <w:tabs>
                <w:tab w:val="left" w:pos="645"/>
              </w:tabs>
              <w:jc w:val="center"/>
              <w:rPr>
                <w:rFonts w:ascii="宋体" w:hAnsi="宋体"/>
                <w:b/>
                <w:color w:val="auto"/>
                <w:spacing w:val="-2"/>
                <w:sz w:val="18"/>
                <w:szCs w:val="18"/>
              </w:rPr>
            </w:pPr>
          </w:p>
        </w:tc>
        <w:tc>
          <w:tcPr>
            <w:tcW w:w="709" w:type="dxa"/>
            <w:tcBorders>
              <w:top w:val="single" w:color="auto" w:sz="4" w:space="0"/>
              <w:left w:val="single" w:color="auto" w:sz="4" w:space="0"/>
              <w:bottom w:val="single" w:color="auto" w:sz="4" w:space="0"/>
              <w:right w:val="single" w:color="auto" w:sz="4" w:space="0"/>
            </w:tcBorders>
            <w:vAlign w:val="center"/>
          </w:tcPr>
          <w:p>
            <w:pPr>
              <w:tabs>
                <w:tab w:val="left" w:pos="645"/>
              </w:tabs>
              <w:jc w:val="center"/>
              <w:rPr>
                <w:rFonts w:ascii="宋体" w:hAnsi="宋体"/>
                <w:b/>
                <w:color w:val="auto"/>
                <w:spacing w:val="-2"/>
                <w:sz w:val="18"/>
                <w:szCs w:val="18"/>
              </w:rPr>
            </w:pPr>
            <w:r>
              <w:rPr>
                <w:rFonts w:hint="eastAsia" w:ascii="宋体" w:hAnsi="宋体"/>
                <w:b/>
                <w:color w:val="auto"/>
                <w:spacing w:val="-2"/>
                <w:sz w:val="18"/>
                <w:szCs w:val="18"/>
              </w:rPr>
              <w:t>4</w:t>
            </w:r>
          </w:p>
        </w:tc>
        <w:tc>
          <w:tcPr>
            <w:tcW w:w="237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sz w:val="18"/>
                <w:szCs w:val="18"/>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sz w:val="18"/>
                <w:szCs w:val="18"/>
              </w:rPr>
            </w:pP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sz w:val="18"/>
                <w:szCs w:val="18"/>
              </w:rPr>
            </w:pPr>
          </w:p>
        </w:tc>
        <w:tc>
          <w:tcPr>
            <w:tcW w:w="1156" w:type="dxa"/>
            <w:tcBorders>
              <w:left w:val="single" w:color="auto" w:sz="4" w:space="0"/>
              <w:right w:val="single" w:color="auto" w:sz="4" w:space="0"/>
            </w:tcBorders>
            <w:vAlign w:val="center"/>
          </w:tcPr>
          <w:p>
            <w:pPr>
              <w:jc w:val="center"/>
              <w:rPr>
                <w:rFonts w:ascii="宋体" w:hAnsi="宋体"/>
                <w:b/>
                <w:color w:val="auto"/>
                <w:sz w:val="18"/>
                <w:szCs w:val="18"/>
              </w:rPr>
            </w:pPr>
          </w:p>
        </w:tc>
        <w:tc>
          <w:tcPr>
            <w:tcW w:w="1156" w:type="dxa"/>
            <w:vMerge w:val="continue"/>
            <w:tcBorders>
              <w:left w:val="single" w:color="auto" w:sz="4" w:space="0"/>
              <w:right w:val="single" w:color="auto" w:sz="4" w:space="0"/>
            </w:tcBorders>
          </w:tcPr>
          <w:p>
            <w:pPr>
              <w:jc w:val="center"/>
              <w:rPr>
                <w:rFonts w:ascii="宋体" w:hAnsi="宋体"/>
                <w:b/>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jc w:val="center"/>
        </w:trPr>
        <w:tc>
          <w:tcPr>
            <w:tcW w:w="992" w:type="dxa"/>
            <w:vMerge w:val="continue"/>
            <w:tcBorders>
              <w:left w:val="single" w:color="auto" w:sz="4" w:space="0"/>
              <w:right w:val="single" w:color="auto" w:sz="4" w:space="0"/>
            </w:tcBorders>
            <w:vAlign w:val="center"/>
          </w:tcPr>
          <w:p>
            <w:pPr>
              <w:tabs>
                <w:tab w:val="left" w:pos="645"/>
              </w:tabs>
              <w:jc w:val="center"/>
              <w:rPr>
                <w:rFonts w:ascii="宋体" w:hAnsi="宋体"/>
                <w:b/>
                <w:color w:val="auto"/>
                <w:spacing w:val="-2"/>
                <w:sz w:val="18"/>
                <w:szCs w:val="18"/>
              </w:rPr>
            </w:pPr>
          </w:p>
        </w:tc>
        <w:tc>
          <w:tcPr>
            <w:tcW w:w="709" w:type="dxa"/>
            <w:tcBorders>
              <w:top w:val="single" w:color="auto" w:sz="4" w:space="0"/>
              <w:left w:val="single" w:color="auto" w:sz="4" w:space="0"/>
              <w:bottom w:val="single" w:color="auto" w:sz="4" w:space="0"/>
              <w:right w:val="single" w:color="auto" w:sz="4" w:space="0"/>
            </w:tcBorders>
            <w:vAlign w:val="center"/>
          </w:tcPr>
          <w:p>
            <w:pPr>
              <w:tabs>
                <w:tab w:val="left" w:pos="645"/>
              </w:tabs>
              <w:jc w:val="center"/>
              <w:rPr>
                <w:rFonts w:ascii="宋体" w:hAnsi="宋体"/>
                <w:b/>
                <w:color w:val="auto"/>
                <w:spacing w:val="-2"/>
                <w:sz w:val="18"/>
                <w:szCs w:val="18"/>
              </w:rPr>
            </w:pPr>
            <w:r>
              <w:rPr>
                <w:rFonts w:hint="eastAsia" w:ascii="宋体" w:hAnsi="宋体"/>
                <w:b/>
                <w:color w:val="auto"/>
                <w:spacing w:val="-2"/>
                <w:sz w:val="18"/>
                <w:szCs w:val="18"/>
              </w:rPr>
              <w:t>5</w:t>
            </w:r>
          </w:p>
        </w:tc>
        <w:tc>
          <w:tcPr>
            <w:tcW w:w="237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sz w:val="18"/>
                <w:szCs w:val="18"/>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sz w:val="18"/>
                <w:szCs w:val="18"/>
              </w:rPr>
            </w:pP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sz w:val="18"/>
                <w:szCs w:val="18"/>
              </w:rPr>
            </w:pPr>
          </w:p>
        </w:tc>
        <w:tc>
          <w:tcPr>
            <w:tcW w:w="1156" w:type="dxa"/>
            <w:tcBorders>
              <w:left w:val="single" w:color="auto" w:sz="4" w:space="0"/>
              <w:right w:val="single" w:color="auto" w:sz="4" w:space="0"/>
            </w:tcBorders>
            <w:vAlign w:val="center"/>
          </w:tcPr>
          <w:p>
            <w:pPr>
              <w:jc w:val="center"/>
              <w:rPr>
                <w:rFonts w:ascii="宋体" w:hAnsi="宋体"/>
                <w:b/>
                <w:color w:val="auto"/>
                <w:sz w:val="18"/>
                <w:szCs w:val="18"/>
              </w:rPr>
            </w:pPr>
          </w:p>
        </w:tc>
        <w:tc>
          <w:tcPr>
            <w:tcW w:w="1156" w:type="dxa"/>
            <w:vMerge w:val="continue"/>
            <w:tcBorders>
              <w:left w:val="single" w:color="auto" w:sz="4" w:space="0"/>
              <w:right w:val="single" w:color="auto" w:sz="4" w:space="0"/>
            </w:tcBorders>
          </w:tcPr>
          <w:p>
            <w:pPr>
              <w:jc w:val="center"/>
              <w:rPr>
                <w:rFonts w:ascii="宋体" w:hAnsi="宋体"/>
                <w:b/>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jc w:val="center"/>
        </w:trPr>
        <w:tc>
          <w:tcPr>
            <w:tcW w:w="992" w:type="dxa"/>
            <w:vMerge w:val="continue"/>
            <w:tcBorders>
              <w:left w:val="single" w:color="auto" w:sz="4" w:space="0"/>
              <w:right w:val="single" w:color="auto" w:sz="4" w:space="0"/>
            </w:tcBorders>
            <w:vAlign w:val="center"/>
          </w:tcPr>
          <w:p>
            <w:pPr>
              <w:tabs>
                <w:tab w:val="left" w:pos="645"/>
              </w:tabs>
              <w:jc w:val="center"/>
              <w:rPr>
                <w:rFonts w:ascii="宋体" w:hAnsi="宋体"/>
                <w:b/>
                <w:color w:val="auto"/>
                <w:spacing w:val="-2"/>
                <w:sz w:val="18"/>
                <w:szCs w:val="18"/>
              </w:rPr>
            </w:pPr>
          </w:p>
        </w:tc>
        <w:tc>
          <w:tcPr>
            <w:tcW w:w="709" w:type="dxa"/>
            <w:tcBorders>
              <w:top w:val="single" w:color="auto" w:sz="4" w:space="0"/>
              <w:left w:val="single" w:color="auto" w:sz="4" w:space="0"/>
              <w:bottom w:val="single" w:color="auto" w:sz="4" w:space="0"/>
              <w:right w:val="single" w:color="auto" w:sz="4" w:space="0"/>
            </w:tcBorders>
            <w:vAlign w:val="center"/>
          </w:tcPr>
          <w:p>
            <w:pPr>
              <w:tabs>
                <w:tab w:val="left" w:pos="645"/>
              </w:tabs>
              <w:jc w:val="center"/>
              <w:rPr>
                <w:rFonts w:ascii="宋体" w:hAnsi="宋体"/>
                <w:b/>
                <w:color w:val="auto"/>
                <w:spacing w:val="-2"/>
                <w:sz w:val="18"/>
                <w:szCs w:val="18"/>
              </w:rPr>
            </w:pPr>
            <w:r>
              <w:rPr>
                <w:rFonts w:hint="eastAsia" w:ascii="宋体" w:hAnsi="宋体"/>
                <w:b/>
                <w:color w:val="auto"/>
                <w:spacing w:val="-2"/>
                <w:sz w:val="18"/>
                <w:szCs w:val="18"/>
              </w:rPr>
              <w:t>6</w:t>
            </w:r>
          </w:p>
        </w:tc>
        <w:tc>
          <w:tcPr>
            <w:tcW w:w="237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sz w:val="18"/>
                <w:szCs w:val="18"/>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sz w:val="18"/>
                <w:szCs w:val="18"/>
              </w:rPr>
            </w:pP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sz w:val="18"/>
                <w:szCs w:val="18"/>
              </w:rPr>
            </w:pPr>
          </w:p>
        </w:tc>
        <w:tc>
          <w:tcPr>
            <w:tcW w:w="1156" w:type="dxa"/>
            <w:tcBorders>
              <w:left w:val="single" w:color="auto" w:sz="4" w:space="0"/>
              <w:right w:val="single" w:color="auto" w:sz="4" w:space="0"/>
            </w:tcBorders>
            <w:vAlign w:val="center"/>
          </w:tcPr>
          <w:p>
            <w:pPr>
              <w:jc w:val="center"/>
              <w:rPr>
                <w:rFonts w:ascii="宋体" w:hAnsi="宋体"/>
                <w:b/>
                <w:color w:val="auto"/>
                <w:sz w:val="18"/>
                <w:szCs w:val="18"/>
              </w:rPr>
            </w:pPr>
          </w:p>
        </w:tc>
        <w:tc>
          <w:tcPr>
            <w:tcW w:w="1156" w:type="dxa"/>
            <w:vMerge w:val="continue"/>
            <w:tcBorders>
              <w:left w:val="single" w:color="auto" w:sz="4" w:space="0"/>
              <w:right w:val="single" w:color="auto" w:sz="4" w:space="0"/>
            </w:tcBorders>
          </w:tcPr>
          <w:p>
            <w:pPr>
              <w:jc w:val="center"/>
              <w:rPr>
                <w:rFonts w:ascii="宋体" w:hAnsi="宋体"/>
                <w:b/>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jc w:val="center"/>
        </w:trPr>
        <w:tc>
          <w:tcPr>
            <w:tcW w:w="992" w:type="dxa"/>
            <w:vMerge w:val="continue"/>
            <w:tcBorders>
              <w:left w:val="single" w:color="auto" w:sz="4" w:space="0"/>
              <w:right w:val="single" w:color="auto" w:sz="4" w:space="0"/>
            </w:tcBorders>
            <w:vAlign w:val="center"/>
          </w:tcPr>
          <w:p>
            <w:pPr>
              <w:tabs>
                <w:tab w:val="left" w:pos="645"/>
              </w:tabs>
              <w:jc w:val="center"/>
              <w:rPr>
                <w:rFonts w:ascii="宋体" w:hAnsi="宋体"/>
                <w:b/>
                <w:color w:val="auto"/>
                <w:spacing w:val="-2"/>
                <w:sz w:val="18"/>
                <w:szCs w:val="18"/>
              </w:rPr>
            </w:pPr>
          </w:p>
        </w:tc>
        <w:tc>
          <w:tcPr>
            <w:tcW w:w="709" w:type="dxa"/>
            <w:tcBorders>
              <w:top w:val="single" w:color="auto" w:sz="4" w:space="0"/>
              <w:left w:val="single" w:color="auto" w:sz="4" w:space="0"/>
              <w:bottom w:val="single" w:color="auto" w:sz="4" w:space="0"/>
              <w:right w:val="single" w:color="auto" w:sz="4" w:space="0"/>
            </w:tcBorders>
            <w:vAlign w:val="center"/>
          </w:tcPr>
          <w:p>
            <w:pPr>
              <w:tabs>
                <w:tab w:val="left" w:pos="645"/>
              </w:tabs>
              <w:jc w:val="center"/>
              <w:rPr>
                <w:rFonts w:ascii="宋体" w:hAnsi="宋体"/>
                <w:b/>
                <w:color w:val="auto"/>
                <w:spacing w:val="-2"/>
                <w:sz w:val="18"/>
                <w:szCs w:val="18"/>
              </w:rPr>
            </w:pPr>
            <w:r>
              <w:rPr>
                <w:rFonts w:hint="eastAsia" w:ascii="宋体" w:hAnsi="宋体"/>
                <w:b/>
                <w:color w:val="auto"/>
                <w:spacing w:val="-2"/>
                <w:sz w:val="18"/>
                <w:szCs w:val="18"/>
              </w:rPr>
              <w:t>7</w:t>
            </w:r>
          </w:p>
        </w:tc>
        <w:tc>
          <w:tcPr>
            <w:tcW w:w="237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sz w:val="18"/>
                <w:szCs w:val="18"/>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sz w:val="18"/>
                <w:szCs w:val="18"/>
              </w:rPr>
            </w:pP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sz w:val="18"/>
                <w:szCs w:val="18"/>
              </w:rPr>
            </w:pPr>
          </w:p>
        </w:tc>
        <w:tc>
          <w:tcPr>
            <w:tcW w:w="1156" w:type="dxa"/>
            <w:tcBorders>
              <w:left w:val="single" w:color="auto" w:sz="4" w:space="0"/>
              <w:right w:val="single" w:color="auto" w:sz="4" w:space="0"/>
            </w:tcBorders>
            <w:vAlign w:val="center"/>
          </w:tcPr>
          <w:p>
            <w:pPr>
              <w:jc w:val="center"/>
              <w:rPr>
                <w:rFonts w:ascii="宋体" w:hAnsi="宋体"/>
                <w:b/>
                <w:color w:val="auto"/>
                <w:sz w:val="18"/>
                <w:szCs w:val="18"/>
              </w:rPr>
            </w:pPr>
          </w:p>
        </w:tc>
        <w:tc>
          <w:tcPr>
            <w:tcW w:w="1156" w:type="dxa"/>
            <w:vMerge w:val="continue"/>
            <w:tcBorders>
              <w:left w:val="single" w:color="auto" w:sz="4" w:space="0"/>
              <w:right w:val="single" w:color="auto" w:sz="4" w:space="0"/>
            </w:tcBorders>
          </w:tcPr>
          <w:p>
            <w:pPr>
              <w:jc w:val="center"/>
              <w:rPr>
                <w:rFonts w:ascii="宋体" w:hAnsi="宋体"/>
                <w:b/>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jc w:val="center"/>
        </w:trPr>
        <w:tc>
          <w:tcPr>
            <w:tcW w:w="992" w:type="dxa"/>
            <w:vMerge w:val="continue"/>
            <w:tcBorders>
              <w:left w:val="single" w:color="auto" w:sz="4" w:space="0"/>
              <w:right w:val="single" w:color="auto" w:sz="4" w:space="0"/>
            </w:tcBorders>
            <w:vAlign w:val="center"/>
          </w:tcPr>
          <w:p>
            <w:pPr>
              <w:tabs>
                <w:tab w:val="left" w:pos="645"/>
              </w:tabs>
              <w:jc w:val="center"/>
              <w:rPr>
                <w:rFonts w:ascii="宋体" w:hAnsi="宋体"/>
                <w:b/>
                <w:color w:val="auto"/>
                <w:spacing w:val="-2"/>
                <w:sz w:val="18"/>
                <w:szCs w:val="18"/>
              </w:rPr>
            </w:pPr>
          </w:p>
        </w:tc>
        <w:tc>
          <w:tcPr>
            <w:tcW w:w="709" w:type="dxa"/>
            <w:tcBorders>
              <w:top w:val="single" w:color="auto" w:sz="4" w:space="0"/>
              <w:left w:val="single" w:color="auto" w:sz="4" w:space="0"/>
              <w:bottom w:val="single" w:color="auto" w:sz="4" w:space="0"/>
              <w:right w:val="single" w:color="auto" w:sz="4" w:space="0"/>
            </w:tcBorders>
            <w:vAlign w:val="center"/>
          </w:tcPr>
          <w:p>
            <w:pPr>
              <w:tabs>
                <w:tab w:val="left" w:pos="645"/>
              </w:tabs>
              <w:jc w:val="center"/>
              <w:rPr>
                <w:rFonts w:ascii="宋体" w:hAnsi="宋体"/>
                <w:b/>
                <w:color w:val="auto"/>
                <w:spacing w:val="-2"/>
                <w:sz w:val="18"/>
                <w:szCs w:val="18"/>
              </w:rPr>
            </w:pPr>
            <w:r>
              <w:rPr>
                <w:rFonts w:hint="eastAsia" w:ascii="宋体" w:hAnsi="宋体"/>
                <w:b/>
                <w:color w:val="auto"/>
                <w:spacing w:val="-2"/>
                <w:sz w:val="18"/>
                <w:szCs w:val="18"/>
              </w:rPr>
              <w:t>8</w:t>
            </w:r>
          </w:p>
        </w:tc>
        <w:tc>
          <w:tcPr>
            <w:tcW w:w="237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sz w:val="18"/>
                <w:szCs w:val="18"/>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sz w:val="18"/>
                <w:szCs w:val="18"/>
              </w:rPr>
            </w:pP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sz w:val="18"/>
                <w:szCs w:val="18"/>
              </w:rPr>
            </w:pPr>
          </w:p>
        </w:tc>
        <w:tc>
          <w:tcPr>
            <w:tcW w:w="1156" w:type="dxa"/>
            <w:tcBorders>
              <w:left w:val="single" w:color="auto" w:sz="4" w:space="0"/>
              <w:right w:val="single" w:color="auto" w:sz="4" w:space="0"/>
            </w:tcBorders>
            <w:vAlign w:val="center"/>
          </w:tcPr>
          <w:p>
            <w:pPr>
              <w:jc w:val="center"/>
              <w:rPr>
                <w:rFonts w:ascii="宋体" w:hAnsi="宋体"/>
                <w:b/>
                <w:color w:val="auto"/>
                <w:sz w:val="18"/>
                <w:szCs w:val="18"/>
              </w:rPr>
            </w:pPr>
          </w:p>
        </w:tc>
        <w:tc>
          <w:tcPr>
            <w:tcW w:w="1156" w:type="dxa"/>
            <w:vMerge w:val="continue"/>
            <w:tcBorders>
              <w:left w:val="single" w:color="auto" w:sz="4" w:space="0"/>
              <w:right w:val="single" w:color="auto" w:sz="4" w:space="0"/>
            </w:tcBorders>
          </w:tcPr>
          <w:p>
            <w:pPr>
              <w:jc w:val="center"/>
              <w:rPr>
                <w:rFonts w:ascii="宋体" w:hAnsi="宋体"/>
                <w:b/>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jc w:val="center"/>
        </w:trPr>
        <w:tc>
          <w:tcPr>
            <w:tcW w:w="992" w:type="dxa"/>
            <w:vMerge w:val="continue"/>
            <w:tcBorders>
              <w:left w:val="single" w:color="auto" w:sz="4" w:space="0"/>
              <w:right w:val="single" w:color="auto" w:sz="4" w:space="0"/>
            </w:tcBorders>
            <w:vAlign w:val="center"/>
          </w:tcPr>
          <w:p>
            <w:pPr>
              <w:tabs>
                <w:tab w:val="left" w:pos="645"/>
              </w:tabs>
              <w:jc w:val="center"/>
              <w:rPr>
                <w:rFonts w:ascii="宋体" w:hAnsi="宋体"/>
                <w:b/>
                <w:color w:val="auto"/>
                <w:spacing w:val="-2"/>
                <w:sz w:val="18"/>
                <w:szCs w:val="18"/>
              </w:rPr>
            </w:pPr>
          </w:p>
        </w:tc>
        <w:tc>
          <w:tcPr>
            <w:tcW w:w="709" w:type="dxa"/>
            <w:tcBorders>
              <w:top w:val="single" w:color="auto" w:sz="4" w:space="0"/>
              <w:left w:val="single" w:color="auto" w:sz="4" w:space="0"/>
              <w:bottom w:val="single" w:color="auto" w:sz="4" w:space="0"/>
              <w:right w:val="single" w:color="auto" w:sz="4" w:space="0"/>
            </w:tcBorders>
            <w:vAlign w:val="center"/>
          </w:tcPr>
          <w:p>
            <w:pPr>
              <w:tabs>
                <w:tab w:val="left" w:pos="645"/>
              </w:tabs>
              <w:jc w:val="center"/>
              <w:rPr>
                <w:rFonts w:ascii="宋体" w:hAnsi="宋体"/>
                <w:b/>
                <w:color w:val="auto"/>
                <w:spacing w:val="-2"/>
                <w:sz w:val="18"/>
                <w:szCs w:val="18"/>
              </w:rPr>
            </w:pPr>
            <w:r>
              <w:rPr>
                <w:rFonts w:hint="eastAsia" w:ascii="宋体" w:hAnsi="宋体"/>
                <w:b/>
                <w:color w:val="auto"/>
                <w:spacing w:val="-2"/>
                <w:sz w:val="18"/>
                <w:szCs w:val="18"/>
              </w:rPr>
              <w:t>9</w:t>
            </w:r>
          </w:p>
        </w:tc>
        <w:tc>
          <w:tcPr>
            <w:tcW w:w="237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sz w:val="18"/>
                <w:szCs w:val="18"/>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sz w:val="18"/>
                <w:szCs w:val="18"/>
              </w:rPr>
            </w:pP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sz w:val="18"/>
                <w:szCs w:val="18"/>
              </w:rPr>
            </w:pPr>
          </w:p>
        </w:tc>
        <w:tc>
          <w:tcPr>
            <w:tcW w:w="1156" w:type="dxa"/>
            <w:tcBorders>
              <w:left w:val="single" w:color="auto" w:sz="4" w:space="0"/>
              <w:right w:val="single" w:color="auto" w:sz="4" w:space="0"/>
            </w:tcBorders>
            <w:vAlign w:val="center"/>
          </w:tcPr>
          <w:p>
            <w:pPr>
              <w:jc w:val="center"/>
              <w:rPr>
                <w:rFonts w:ascii="宋体" w:hAnsi="宋体"/>
                <w:b/>
                <w:color w:val="auto"/>
                <w:sz w:val="18"/>
                <w:szCs w:val="18"/>
              </w:rPr>
            </w:pPr>
          </w:p>
        </w:tc>
        <w:tc>
          <w:tcPr>
            <w:tcW w:w="1156" w:type="dxa"/>
            <w:vMerge w:val="continue"/>
            <w:tcBorders>
              <w:left w:val="single" w:color="auto" w:sz="4" w:space="0"/>
              <w:right w:val="single" w:color="auto" w:sz="4" w:space="0"/>
            </w:tcBorders>
            <w:vAlign w:val="center"/>
          </w:tcPr>
          <w:p>
            <w:pPr>
              <w:jc w:val="center"/>
              <w:rPr>
                <w:rFonts w:ascii="宋体" w:hAnsi="宋体"/>
                <w:b/>
                <w:color w:val="auto"/>
                <w:sz w:val="18"/>
                <w:szCs w:val="18"/>
              </w:rPr>
            </w:pPr>
          </w:p>
        </w:tc>
      </w:tr>
    </w:tbl>
    <w:p>
      <w:pPr>
        <w:adjustRightInd w:val="0"/>
        <w:snapToGrid w:val="0"/>
        <w:rPr>
          <w:color w:val="auto"/>
          <w:sz w:val="24"/>
        </w:rPr>
      </w:pPr>
    </w:p>
    <w:p>
      <w:pPr>
        <w:adjustRightInd w:val="0"/>
        <w:snapToGrid w:val="0"/>
        <w:rPr>
          <w:color w:val="auto"/>
          <w:sz w:val="24"/>
        </w:rPr>
      </w:pPr>
      <w:r>
        <w:rPr>
          <w:color w:val="auto"/>
          <w:sz w:val="24"/>
        </w:rPr>
        <w:t xml:space="preserve">投标人（单位章）：                               </w:t>
      </w:r>
    </w:p>
    <w:p>
      <w:pPr>
        <w:adjustRightInd w:val="0"/>
        <w:snapToGrid w:val="0"/>
        <w:rPr>
          <w:color w:val="auto"/>
          <w:sz w:val="24"/>
        </w:rPr>
      </w:pPr>
    </w:p>
    <w:p>
      <w:pPr>
        <w:adjustRightInd w:val="0"/>
        <w:snapToGrid w:val="0"/>
        <w:rPr>
          <w:color w:val="auto"/>
          <w:sz w:val="24"/>
        </w:rPr>
      </w:pPr>
    </w:p>
    <w:p>
      <w:pPr>
        <w:adjustRightInd w:val="0"/>
        <w:snapToGrid w:val="0"/>
        <w:rPr>
          <w:color w:val="auto"/>
          <w:sz w:val="24"/>
        </w:rPr>
      </w:pPr>
      <w:r>
        <w:rPr>
          <w:rFonts w:hint="eastAsia"/>
          <w:color w:val="auto"/>
          <w:sz w:val="24"/>
        </w:rPr>
        <w:t>法定代表人</w:t>
      </w:r>
      <w:r>
        <w:rPr>
          <w:color w:val="auto"/>
          <w:sz w:val="24"/>
        </w:rPr>
        <w:t xml:space="preserve">（经营者）或其授权的代理人(签字)：                        </w:t>
      </w:r>
    </w:p>
    <w:p>
      <w:pPr>
        <w:adjustRightInd w:val="0"/>
        <w:snapToGrid w:val="0"/>
        <w:rPr>
          <w:color w:val="auto"/>
          <w:sz w:val="24"/>
        </w:rPr>
      </w:pPr>
    </w:p>
    <w:p>
      <w:pPr>
        <w:adjustRightInd w:val="0"/>
        <w:snapToGrid w:val="0"/>
        <w:rPr>
          <w:color w:val="auto"/>
          <w:sz w:val="24"/>
        </w:rPr>
      </w:pPr>
    </w:p>
    <w:p>
      <w:pPr>
        <w:adjustRightInd w:val="0"/>
        <w:snapToGrid w:val="0"/>
        <w:rPr>
          <w:color w:val="auto"/>
          <w:sz w:val="24"/>
        </w:rPr>
      </w:pPr>
      <w:r>
        <w:rPr>
          <w:color w:val="auto"/>
          <w:sz w:val="24"/>
        </w:rPr>
        <w:t>日期：     年   月   日</w:t>
      </w:r>
    </w:p>
    <w:p>
      <w:pPr>
        <w:rPr>
          <w:color w:val="auto"/>
          <w:sz w:val="24"/>
        </w:rPr>
      </w:pPr>
    </w:p>
    <w:p>
      <w:pPr>
        <w:rPr>
          <w:color w:val="auto"/>
          <w:sz w:val="24"/>
        </w:rPr>
      </w:pPr>
    </w:p>
    <w:p>
      <w:pPr>
        <w:rPr>
          <w:color w:val="auto"/>
          <w:sz w:val="24"/>
        </w:rPr>
      </w:pPr>
      <w:r>
        <w:rPr>
          <w:color w:val="auto"/>
          <w:sz w:val="24"/>
        </w:rPr>
        <w:t>说明：</w:t>
      </w:r>
    </w:p>
    <w:p>
      <w:pPr>
        <w:rPr>
          <w:color w:val="auto"/>
          <w:sz w:val="24"/>
        </w:rPr>
      </w:pPr>
      <w:r>
        <w:rPr>
          <w:color w:val="auto"/>
          <w:sz w:val="24"/>
        </w:rPr>
        <w:t>1、投标报价为含税发票价格(包括运输费、装卸费、售后服务费、国家规定的税费等)；</w:t>
      </w:r>
    </w:p>
    <w:p>
      <w:pPr>
        <w:rPr>
          <w:color w:val="auto"/>
          <w:sz w:val="24"/>
        </w:rPr>
      </w:pPr>
      <w:r>
        <w:rPr>
          <w:color w:val="auto"/>
          <w:sz w:val="24"/>
        </w:rPr>
        <w:t>2、所有价格均系用人民币表示，单位为元，精确到个数位；</w:t>
      </w:r>
    </w:p>
    <w:p>
      <w:pPr>
        <w:rPr>
          <w:color w:val="auto"/>
          <w:sz w:val="24"/>
        </w:rPr>
      </w:pPr>
      <w:r>
        <w:rPr>
          <w:color w:val="auto"/>
          <w:sz w:val="24"/>
        </w:rPr>
        <w:t>3、价格应按照第二章第14条的要求报价。</w:t>
      </w:r>
    </w:p>
    <w:p>
      <w:pPr>
        <w:pStyle w:val="4"/>
        <w:adjustRightInd/>
        <w:spacing w:beforeLines="100" w:after="0" w:line="360" w:lineRule="exact"/>
        <w:textAlignment w:val="auto"/>
        <w:rPr>
          <w:color w:val="auto"/>
          <w:sz w:val="24"/>
        </w:rPr>
      </w:pPr>
      <w:r>
        <w:rPr>
          <w:color w:val="auto"/>
          <w:sz w:val="24"/>
        </w:rPr>
        <w:br w:type="page"/>
      </w:r>
      <w:r>
        <w:rPr>
          <w:bCs/>
          <w:color w:val="auto"/>
          <w:sz w:val="30"/>
          <w:szCs w:val="30"/>
        </w:rPr>
        <w:t>附件4.</w:t>
      </w:r>
    </w:p>
    <w:p>
      <w:pPr>
        <w:snapToGrid w:val="0"/>
        <w:spacing w:beforeLines="100" w:afterLines="100" w:line="500" w:lineRule="exact"/>
        <w:jc w:val="center"/>
        <w:rPr>
          <w:b/>
          <w:color w:val="auto"/>
          <w:sz w:val="30"/>
          <w:szCs w:val="30"/>
        </w:rPr>
      </w:pPr>
      <w:r>
        <w:rPr>
          <w:rFonts w:hint="eastAsia"/>
          <w:b/>
          <w:color w:val="auto"/>
          <w:sz w:val="30"/>
          <w:szCs w:val="30"/>
        </w:rPr>
        <w:t>法定代表人</w:t>
      </w:r>
      <w:r>
        <w:rPr>
          <w:b/>
          <w:color w:val="auto"/>
          <w:sz w:val="30"/>
          <w:szCs w:val="30"/>
        </w:rPr>
        <w:t>（经营者）授权委托书（格式）</w:t>
      </w:r>
    </w:p>
    <w:p>
      <w:pPr>
        <w:spacing w:line="460" w:lineRule="exact"/>
        <w:ind w:right="-309" w:rightChars="-147" w:firstLine="480" w:firstLineChars="200"/>
        <w:rPr>
          <w:color w:val="auto"/>
          <w:sz w:val="24"/>
        </w:rPr>
      </w:pPr>
      <w:r>
        <w:rPr>
          <w:color w:val="auto"/>
          <w:sz w:val="24"/>
        </w:rPr>
        <w:t>本授权委托书声明：我</w:t>
      </w:r>
      <w:r>
        <w:rPr>
          <w:color w:val="auto"/>
          <w:sz w:val="24"/>
          <w:u w:val="single"/>
        </w:rPr>
        <w:t xml:space="preserve">          </w:t>
      </w:r>
      <w:r>
        <w:rPr>
          <w:color w:val="auto"/>
          <w:sz w:val="24"/>
        </w:rPr>
        <w:t>(姓名)系</w:t>
      </w:r>
      <w:r>
        <w:rPr>
          <w:color w:val="auto"/>
          <w:sz w:val="24"/>
          <w:u w:val="single"/>
        </w:rPr>
        <w:t xml:space="preserve">                       </w:t>
      </w:r>
      <w:r>
        <w:rPr>
          <w:color w:val="auto"/>
          <w:sz w:val="24"/>
        </w:rPr>
        <w:t>(投标单位名称)的</w:t>
      </w:r>
      <w:r>
        <w:rPr>
          <w:rFonts w:hint="eastAsia"/>
          <w:color w:val="auto"/>
          <w:sz w:val="24"/>
        </w:rPr>
        <w:t>法定代表人</w:t>
      </w:r>
      <w:r>
        <w:rPr>
          <w:color w:val="auto"/>
          <w:sz w:val="24"/>
        </w:rPr>
        <w:t>（经营者）</w:t>
      </w:r>
      <w:r>
        <w:rPr>
          <w:rFonts w:hint="eastAsia"/>
          <w:color w:val="auto"/>
          <w:sz w:val="24"/>
        </w:rPr>
        <w:t>，</w:t>
      </w:r>
      <w:r>
        <w:rPr>
          <w:color w:val="auto"/>
          <w:sz w:val="24"/>
        </w:rPr>
        <w:t>现授权委托</w:t>
      </w:r>
      <w:r>
        <w:rPr>
          <w:color w:val="auto"/>
          <w:sz w:val="24"/>
          <w:u w:val="single"/>
        </w:rPr>
        <w:t xml:space="preserve">           </w:t>
      </w:r>
      <w:r>
        <w:rPr>
          <w:color w:val="auto"/>
          <w:sz w:val="24"/>
        </w:rPr>
        <w:t>(姓名)为我单位代理人</w:t>
      </w:r>
      <w:r>
        <w:rPr>
          <w:rFonts w:hint="eastAsia"/>
          <w:color w:val="auto"/>
          <w:sz w:val="24"/>
        </w:rPr>
        <w:t>，</w:t>
      </w:r>
      <w:r>
        <w:rPr>
          <w:color w:val="auto"/>
          <w:sz w:val="24"/>
        </w:rPr>
        <w:t>以本单位的名义参加湖南工程学院的</w:t>
      </w:r>
      <w:r>
        <w:rPr>
          <w:color w:val="auto"/>
          <w:sz w:val="24"/>
          <w:u w:val="single"/>
        </w:rPr>
        <w:t xml:space="preserve">                     </w:t>
      </w:r>
      <w:r>
        <w:rPr>
          <w:color w:val="auto"/>
          <w:sz w:val="24"/>
        </w:rPr>
        <w:t>采购项目的采购活动。委托代理人在报价、谈判、询标过程中所签署的一切文件和处理与之有关的一切事务，我均予以承认。</w:t>
      </w:r>
    </w:p>
    <w:p>
      <w:pPr>
        <w:spacing w:line="460" w:lineRule="exact"/>
        <w:ind w:firstLine="600"/>
        <w:rPr>
          <w:color w:val="auto"/>
          <w:sz w:val="24"/>
        </w:rPr>
      </w:pPr>
      <w:r>
        <w:rPr>
          <w:color w:val="auto"/>
          <w:sz w:val="24"/>
        </w:rPr>
        <w:t>委托代理人无转委权。特此委托。</w:t>
      </w:r>
    </w:p>
    <w:p>
      <w:pPr>
        <w:spacing w:line="460" w:lineRule="exact"/>
        <w:ind w:firstLine="600"/>
        <w:rPr>
          <w:color w:val="auto"/>
          <w:sz w:val="24"/>
        </w:rPr>
      </w:pPr>
      <w:r>
        <w:rPr>
          <w:color w:val="auto"/>
          <w:sz w:val="24"/>
        </w:rPr>
        <w:t>代理人：                 性别：          年龄：</w:t>
      </w:r>
    </w:p>
    <w:p>
      <w:pPr>
        <w:spacing w:line="460" w:lineRule="exact"/>
        <w:ind w:firstLine="600"/>
        <w:rPr>
          <w:color w:val="auto"/>
          <w:sz w:val="24"/>
        </w:rPr>
      </w:pPr>
      <w:r>
        <w:rPr>
          <w:color w:val="auto"/>
          <w:sz w:val="24"/>
        </w:rPr>
        <w:t>单位：                   部门：          职务：</w:t>
      </w:r>
    </w:p>
    <w:p>
      <w:pPr>
        <w:spacing w:line="460" w:lineRule="exact"/>
        <w:ind w:firstLine="600"/>
        <w:rPr>
          <w:color w:val="auto"/>
          <w:sz w:val="24"/>
        </w:rPr>
      </w:pPr>
      <w:r>
        <w:rPr>
          <w:color w:val="auto"/>
          <w:sz w:val="24"/>
        </w:rPr>
        <w:t>投标人名称：（盖章）</w:t>
      </w:r>
    </w:p>
    <w:p>
      <w:pPr>
        <w:spacing w:line="460" w:lineRule="exact"/>
        <w:ind w:firstLine="600"/>
        <w:rPr>
          <w:color w:val="auto"/>
          <w:sz w:val="24"/>
        </w:rPr>
      </w:pPr>
      <w:r>
        <w:rPr>
          <w:rFonts w:hint="eastAsia"/>
          <w:color w:val="auto"/>
          <w:sz w:val="24"/>
        </w:rPr>
        <w:t>法定代表人</w:t>
      </w:r>
      <w:r>
        <w:rPr>
          <w:color w:val="auto"/>
          <w:sz w:val="24"/>
        </w:rPr>
        <w:t xml:space="preserve">（经营者）：（签名）                             </w:t>
      </w:r>
    </w:p>
    <w:p>
      <w:pPr>
        <w:spacing w:line="460" w:lineRule="exact"/>
        <w:ind w:firstLine="5520" w:firstLineChars="2300"/>
        <w:rPr>
          <w:color w:val="auto"/>
          <w:sz w:val="24"/>
        </w:rPr>
      </w:pPr>
      <w:r>
        <w:rPr>
          <w:color w:val="auto"/>
          <w:sz w:val="24"/>
        </w:rPr>
        <w:t>日期：      年  月  日</w:t>
      </w:r>
    </w:p>
    <w:p>
      <w:pPr>
        <w:spacing w:line="460" w:lineRule="exact"/>
        <w:ind w:firstLine="600"/>
        <w:rPr>
          <w:color w:val="auto"/>
          <w:sz w:val="24"/>
        </w:rPr>
      </w:pPr>
    </w:p>
    <w:p>
      <w:pPr>
        <w:spacing w:line="460" w:lineRule="exact"/>
        <w:ind w:firstLine="600"/>
        <w:rPr>
          <w:color w:val="auto"/>
          <w:sz w:val="24"/>
        </w:rPr>
      </w:pPr>
      <w:r>
        <w:rPr>
          <w:color w:val="auto"/>
          <w:sz w:val="24"/>
        </w:rPr>
        <w:t>附：</w:t>
      </w:r>
      <w:r>
        <w:rPr>
          <w:rFonts w:hint="eastAsia"/>
          <w:color w:val="auto"/>
          <w:sz w:val="24"/>
        </w:rPr>
        <w:t>法定代表人</w:t>
      </w:r>
      <w:r>
        <w:rPr>
          <w:color w:val="auto"/>
          <w:sz w:val="24"/>
        </w:rPr>
        <w:t>（经营者）及委托代理人身份证复印件</w:t>
      </w:r>
    </w:p>
    <w:p>
      <w:pPr>
        <w:snapToGrid w:val="0"/>
        <w:spacing w:beforeLines="100" w:afterLines="100" w:line="500" w:lineRule="exact"/>
        <w:outlineLvl w:val="2"/>
        <w:rPr>
          <w:color w:val="auto"/>
          <w:sz w:val="24"/>
        </w:rPr>
      </w:pPr>
      <w:r>
        <w:rPr>
          <w:color w:val="auto"/>
          <w:sz w:val="24"/>
        </w:rPr>
        <w:br w:type="page"/>
      </w:r>
      <w:r>
        <w:rPr>
          <w:b/>
          <w:bCs/>
          <w:color w:val="auto"/>
          <w:sz w:val="30"/>
          <w:szCs w:val="30"/>
        </w:rPr>
        <w:t>附件5.</w:t>
      </w:r>
    </w:p>
    <w:p>
      <w:pPr>
        <w:snapToGrid w:val="0"/>
        <w:spacing w:beforeLines="100" w:afterLines="100" w:line="500" w:lineRule="exact"/>
        <w:jc w:val="center"/>
        <w:rPr>
          <w:b/>
          <w:color w:val="auto"/>
          <w:sz w:val="30"/>
          <w:szCs w:val="30"/>
        </w:rPr>
      </w:pPr>
      <w:r>
        <w:rPr>
          <w:b/>
          <w:color w:val="auto"/>
          <w:sz w:val="30"/>
          <w:szCs w:val="30"/>
        </w:rPr>
        <w:t>营业执照复印件</w:t>
      </w:r>
    </w:p>
    <w:p>
      <w:pPr>
        <w:snapToGrid w:val="0"/>
        <w:spacing w:beforeLines="100" w:afterLines="100" w:line="500" w:lineRule="exact"/>
        <w:outlineLvl w:val="2"/>
        <w:rPr>
          <w:b/>
          <w:bCs/>
          <w:color w:val="auto"/>
          <w:sz w:val="30"/>
          <w:szCs w:val="30"/>
        </w:rPr>
      </w:pPr>
      <w:r>
        <w:rPr>
          <w:b/>
          <w:bCs/>
          <w:color w:val="auto"/>
          <w:sz w:val="30"/>
          <w:szCs w:val="30"/>
        </w:rPr>
        <w:t>附件6.</w:t>
      </w:r>
    </w:p>
    <w:p>
      <w:pPr>
        <w:snapToGrid w:val="0"/>
        <w:spacing w:beforeLines="100" w:afterLines="100" w:line="500" w:lineRule="exact"/>
        <w:jc w:val="center"/>
        <w:rPr>
          <w:b/>
          <w:bCs/>
          <w:color w:val="auto"/>
          <w:sz w:val="30"/>
          <w:szCs w:val="30"/>
        </w:rPr>
      </w:pPr>
      <w:r>
        <w:rPr>
          <w:b/>
          <w:bCs/>
          <w:color w:val="auto"/>
          <w:sz w:val="30"/>
          <w:szCs w:val="30"/>
        </w:rPr>
        <w:t>投标人基本情况表</w:t>
      </w:r>
    </w:p>
    <w:tbl>
      <w:tblPr>
        <w:tblStyle w:val="47"/>
        <w:tblW w:w="8240"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83"/>
        <w:gridCol w:w="1096"/>
        <w:gridCol w:w="1096"/>
        <w:gridCol w:w="1232"/>
        <w:gridCol w:w="1039"/>
        <w:gridCol w:w="194"/>
        <w:gridCol w:w="519"/>
        <w:gridCol w:w="138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84" w:hRule="atLeast"/>
          <w:jc w:val="center"/>
        </w:trPr>
        <w:tc>
          <w:tcPr>
            <w:tcW w:w="1683" w:type="dxa"/>
            <w:vAlign w:val="center"/>
          </w:tcPr>
          <w:p>
            <w:pPr>
              <w:snapToGrid w:val="0"/>
              <w:jc w:val="center"/>
              <w:rPr>
                <w:color w:val="auto"/>
                <w:sz w:val="24"/>
              </w:rPr>
            </w:pPr>
            <w:r>
              <w:rPr>
                <w:color w:val="auto"/>
                <w:sz w:val="24"/>
              </w:rPr>
              <w:t>投标人名称</w:t>
            </w:r>
          </w:p>
        </w:tc>
        <w:tc>
          <w:tcPr>
            <w:tcW w:w="6557" w:type="dxa"/>
            <w:gridSpan w:val="7"/>
            <w:vAlign w:val="center"/>
          </w:tcPr>
          <w:p>
            <w:pPr>
              <w:snapToGrid w:val="0"/>
              <w:jc w:val="center"/>
              <w:rPr>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71" w:hRule="atLeast"/>
          <w:jc w:val="center"/>
        </w:trPr>
        <w:tc>
          <w:tcPr>
            <w:tcW w:w="1683" w:type="dxa"/>
            <w:vAlign w:val="center"/>
          </w:tcPr>
          <w:p>
            <w:pPr>
              <w:snapToGrid w:val="0"/>
              <w:jc w:val="center"/>
              <w:rPr>
                <w:color w:val="auto"/>
                <w:sz w:val="24"/>
              </w:rPr>
            </w:pPr>
            <w:r>
              <w:rPr>
                <w:color w:val="auto"/>
                <w:sz w:val="24"/>
              </w:rPr>
              <w:t>注册地址</w:t>
            </w:r>
          </w:p>
        </w:tc>
        <w:tc>
          <w:tcPr>
            <w:tcW w:w="3424" w:type="dxa"/>
            <w:gridSpan w:val="3"/>
            <w:vAlign w:val="center"/>
          </w:tcPr>
          <w:p>
            <w:pPr>
              <w:snapToGrid w:val="0"/>
              <w:jc w:val="center"/>
              <w:rPr>
                <w:color w:val="auto"/>
                <w:sz w:val="24"/>
              </w:rPr>
            </w:pPr>
          </w:p>
        </w:tc>
        <w:tc>
          <w:tcPr>
            <w:tcW w:w="1233" w:type="dxa"/>
            <w:gridSpan w:val="2"/>
            <w:vAlign w:val="center"/>
          </w:tcPr>
          <w:p>
            <w:pPr>
              <w:snapToGrid w:val="0"/>
              <w:jc w:val="center"/>
              <w:rPr>
                <w:color w:val="auto"/>
                <w:sz w:val="24"/>
              </w:rPr>
            </w:pPr>
            <w:r>
              <w:rPr>
                <w:color w:val="auto"/>
                <w:sz w:val="24"/>
              </w:rPr>
              <w:t>注册号码</w:t>
            </w:r>
          </w:p>
        </w:tc>
        <w:tc>
          <w:tcPr>
            <w:tcW w:w="1900" w:type="dxa"/>
            <w:gridSpan w:val="2"/>
            <w:vAlign w:val="center"/>
          </w:tcPr>
          <w:p>
            <w:pPr>
              <w:snapToGrid w:val="0"/>
              <w:jc w:val="center"/>
              <w:rPr>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71" w:hRule="atLeast"/>
          <w:jc w:val="center"/>
        </w:trPr>
        <w:tc>
          <w:tcPr>
            <w:tcW w:w="1683" w:type="dxa"/>
            <w:vMerge w:val="restart"/>
            <w:vAlign w:val="center"/>
          </w:tcPr>
          <w:p>
            <w:pPr>
              <w:snapToGrid w:val="0"/>
              <w:jc w:val="center"/>
              <w:rPr>
                <w:color w:val="auto"/>
                <w:sz w:val="24"/>
              </w:rPr>
            </w:pPr>
            <w:r>
              <w:rPr>
                <w:color w:val="auto"/>
                <w:sz w:val="24"/>
              </w:rPr>
              <w:t>联系方式</w:t>
            </w:r>
          </w:p>
        </w:tc>
        <w:tc>
          <w:tcPr>
            <w:tcW w:w="1096" w:type="dxa"/>
            <w:vAlign w:val="center"/>
          </w:tcPr>
          <w:p>
            <w:pPr>
              <w:snapToGrid w:val="0"/>
              <w:jc w:val="center"/>
              <w:rPr>
                <w:color w:val="auto"/>
                <w:sz w:val="24"/>
              </w:rPr>
            </w:pPr>
            <w:r>
              <w:rPr>
                <w:color w:val="auto"/>
                <w:sz w:val="24"/>
              </w:rPr>
              <w:t>联系人</w:t>
            </w:r>
          </w:p>
        </w:tc>
        <w:tc>
          <w:tcPr>
            <w:tcW w:w="2328" w:type="dxa"/>
            <w:gridSpan w:val="2"/>
            <w:vAlign w:val="center"/>
          </w:tcPr>
          <w:p>
            <w:pPr>
              <w:snapToGrid w:val="0"/>
              <w:jc w:val="center"/>
              <w:rPr>
                <w:color w:val="auto"/>
                <w:sz w:val="24"/>
              </w:rPr>
            </w:pPr>
          </w:p>
        </w:tc>
        <w:tc>
          <w:tcPr>
            <w:tcW w:w="1233" w:type="dxa"/>
            <w:gridSpan w:val="2"/>
            <w:vAlign w:val="center"/>
          </w:tcPr>
          <w:p>
            <w:pPr>
              <w:snapToGrid w:val="0"/>
              <w:jc w:val="center"/>
              <w:rPr>
                <w:color w:val="auto"/>
                <w:sz w:val="24"/>
              </w:rPr>
            </w:pPr>
            <w:r>
              <w:rPr>
                <w:color w:val="auto"/>
                <w:sz w:val="24"/>
              </w:rPr>
              <w:t>电    话</w:t>
            </w:r>
          </w:p>
        </w:tc>
        <w:tc>
          <w:tcPr>
            <w:tcW w:w="1900" w:type="dxa"/>
            <w:gridSpan w:val="2"/>
            <w:vAlign w:val="center"/>
          </w:tcPr>
          <w:p>
            <w:pPr>
              <w:snapToGrid w:val="0"/>
              <w:jc w:val="center"/>
              <w:rPr>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71" w:hRule="atLeast"/>
          <w:jc w:val="center"/>
        </w:trPr>
        <w:tc>
          <w:tcPr>
            <w:tcW w:w="1683" w:type="dxa"/>
            <w:vMerge w:val="continue"/>
            <w:vAlign w:val="center"/>
          </w:tcPr>
          <w:p>
            <w:pPr>
              <w:snapToGrid w:val="0"/>
              <w:jc w:val="center"/>
              <w:rPr>
                <w:color w:val="auto"/>
                <w:sz w:val="24"/>
              </w:rPr>
            </w:pPr>
          </w:p>
        </w:tc>
        <w:tc>
          <w:tcPr>
            <w:tcW w:w="1096" w:type="dxa"/>
            <w:vAlign w:val="center"/>
          </w:tcPr>
          <w:p>
            <w:pPr>
              <w:snapToGrid w:val="0"/>
              <w:jc w:val="center"/>
              <w:rPr>
                <w:color w:val="auto"/>
                <w:sz w:val="24"/>
              </w:rPr>
            </w:pPr>
            <w:r>
              <w:rPr>
                <w:color w:val="auto"/>
                <w:sz w:val="24"/>
              </w:rPr>
              <w:t>传  真</w:t>
            </w:r>
          </w:p>
        </w:tc>
        <w:tc>
          <w:tcPr>
            <w:tcW w:w="2328" w:type="dxa"/>
            <w:gridSpan w:val="2"/>
            <w:vAlign w:val="center"/>
          </w:tcPr>
          <w:p>
            <w:pPr>
              <w:snapToGrid w:val="0"/>
              <w:jc w:val="center"/>
              <w:rPr>
                <w:color w:val="auto"/>
                <w:sz w:val="24"/>
              </w:rPr>
            </w:pPr>
          </w:p>
        </w:tc>
        <w:tc>
          <w:tcPr>
            <w:tcW w:w="1233" w:type="dxa"/>
            <w:gridSpan w:val="2"/>
            <w:vAlign w:val="center"/>
          </w:tcPr>
          <w:p>
            <w:pPr>
              <w:snapToGrid w:val="0"/>
              <w:jc w:val="center"/>
              <w:rPr>
                <w:color w:val="auto"/>
                <w:sz w:val="24"/>
              </w:rPr>
            </w:pPr>
            <w:r>
              <w:rPr>
                <w:color w:val="auto"/>
                <w:sz w:val="24"/>
              </w:rPr>
              <w:t>网    址</w:t>
            </w:r>
          </w:p>
        </w:tc>
        <w:tc>
          <w:tcPr>
            <w:tcW w:w="1900" w:type="dxa"/>
            <w:gridSpan w:val="2"/>
            <w:vAlign w:val="center"/>
          </w:tcPr>
          <w:p>
            <w:pPr>
              <w:snapToGrid w:val="0"/>
              <w:jc w:val="center"/>
              <w:rPr>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71" w:hRule="atLeast"/>
          <w:jc w:val="center"/>
        </w:trPr>
        <w:tc>
          <w:tcPr>
            <w:tcW w:w="1683" w:type="dxa"/>
            <w:vAlign w:val="center"/>
          </w:tcPr>
          <w:p>
            <w:pPr>
              <w:snapToGrid w:val="0"/>
              <w:jc w:val="center"/>
              <w:rPr>
                <w:color w:val="auto"/>
                <w:sz w:val="24"/>
              </w:rPr>
            </w:pPr>
            <w:r>
              <w:rPr>
                <w:rFonts w:hint="eastAsia"/>
                <w:color w:val="auto"/>
                <w:sz w:val="24"/>
              </w:rPr>
              <w:t>法定代表人</w:t>
            </w:r>
            <w:r>
              <w:rPr>
                <w:color w:val="auto"/>
                <w:sz w:val="24"/>
              </w:rPr>
              <w:t>（经营者）</w:t>
            </w:r>
          </w:p>
        </w:tc>
        <w:tc>
          <w:tcPr>
            <w:tcW w:w="1096" w:type="dxa"/>
            <w:vAlign w:val="center"/>
          </w:tcPr>
          <w:p>
            <w:pPr>
              <w:snapToGrid w:val="0"/>
              <w:jc w:val="center"/>
              <w:rPr>
                <w:color w:val="auto"/>
                <w:sz w:val="24"/>
              </w:rPr>
            </w:pPr>
            <w:r>
              <w:rPr>
                <w:color w:val="auto"/>
                <w:sz w:val="24"/>
              </w:rPr>
              <w:t>姓名</w:t>
            </w:r>
          </w:p>
        </w:tc>
        <w:tc>
          <w:tcPr>
            <w:tcW w:w="1096" w:type="dxa"/>
            <w:vAlign w:val="center"/>
          </w:tcPr>
          <w:p>
            <w:pPr>
              <w:snapToGrid w:val="0"/>
              <w:jc w:val="center"/>
              <w:rPr>
                <w:color w:val="auto"/>
                <w:sz w:val="24"/>
              </w:rPr>
            </w:pPr>
          </w:p>
        </w:tc>
        <w:tc>
          <w:tcPr>
            <w:tcW w:w="1232" w:type="dxa"/>
            <w:vAlign w:val="center"/>
          </w:tcPr>
          <w:p>
            <w:pPr>
              <w:snapToGrid w:val="0"/>
              <w:jc w:val="center"/>
              <w:rPr>
                <w:color w:val="auto"/>
                <w:sz w:val="24"/>
              </w:rPr>
            </w:pPr>
            <w:r>
              <w:rPr>
                <w:color w:val="auto"/>
                <w:sz w:val="24"/>
              </w:rPr>
              <w:t>技术职称</w:t>
            </w:r>
          </w:p>
        </w:tc>
        <w:tc>
          <w:tcPr>
            <w:tcW w:w="1039" w:type="dxa"/>
            <w:vAlign w:val="center"/>
          </w:tcPr>
          <w:p>
            <w:pPr>
              <w:snapToGrid w:val="0"/>
              <w:jc w:val="center"/>
              <w:rPr>
                <w:color w:val="auto"/>
                <w:sz w:val="24"/>
              </w:rPr>
            </w:pPr>
          </w:p>
        </w:tc>
        <w:tc>
          <w:tcPr>
            <w:tcW w:w="713" w:type="dxa"/>
            <w:gridSpan w:val="2"/>
            <w:vAlign w:val="center"/>
          </w:tcPr>
          <w:p>
            <w:pPr>
              <w:snapToGrid w:val="0"/>
              <w:jc w:val="center"/>
              <w:rPr>
                <w:color w:val="auto"/>
                <w:sz w:val="24"/>
              </w:rPr>
            </w:pPr>
            <w:r>
              <w:rPr>
                <w:color w:val="auto"/>
                <w:sz w:val="24"/>
              </w:rPr>
              <w:t>电话</w:t>
            </w:r>
          </w:p>
        </w:tc>
        <w:tc>
          <w:tcPr>
            <w:tcW w:w="1381" w:type="dxa"/>
            <w:vAlign w:val="center"/>
          </w:tcPr>
          <w:p>
            <w:pPr>
              <w:snapToGrid w:val="0"/>
              <w:jc w:val="center"/>
              <w:rPr>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71" w:hRule="atLeast"/>
          <w:jc w:val="center"/>
        </w:trPr>
        <w:tc>
          <w:tcPr>
            <w:tcW w:w="1683" w:type="dxa"/>
            <w:vAlign w:val="center"/>
          </w:tcPr>
          <w:p>
            <w:pPr>
              <w:snapToGrid w:val="0"/>
              <w:jc w:val="center"/>
              <w:rPr>
                <w:color w:val="auto"/>
                <w:sz w:val="24"/>
              </w:rPr>
            </w:pPr>
            <w:r>
              <w:rPr>
                <w:color w:val="auto"/>
                <w:sz w:val="24"/>
              </w:rPr>
              <w:t>授权的代理人</w:t>
            </w:r>
          </w:p>
        </w:tc>
        <w:tc>
          <w:tcPr>
            <w:tcW w:w="1096" w:type="dxa"/>
            <w:vAlign w:val="center"/>
          </w:tcPr>
          <w:p>
            <w:pPr>
              <w:snapToGrid w:val="0"/>
              <w:jc w:val="center"/>
              <w:rPr>
                <w:color w:val="auto"/>
                <w:sz w:val="24"/>
              </w:rPr>
            </w:pPr>
            <w:r>
              <w:rPr>
                <w:color w:val="auto"/>
                <w:sz w:val="24"/>
              </w:rPr>
              <w:t>姓名</w:t>
            </w:r>
          </w:p>
        </w:tc>
        <w:tc>
          <w:tcPr>
            <w:tcW w:w="1096" w:type="dxa"/>
            <w:vAlign w:val="center"/>
          </w:tcPr>
          <w:p>
            <w:pPr>
              <w:snapToGrid w:val="0"/>
              <w:jc w:val="center"/>
              <w:rPr>
                <w:color w:val="auto"/>
                <w:sz w:val="24"/>
              </w:rPr>
            </w:pPr>
          </w:p>
        </w:tc>
        <w:tc>
          <w:tcPr>
            <w:tcW w:w="1232" w:type="dxa"/>
            <w:vAlign w:val="center"/>
          </w:tcPr>
          <w:p>
            <w:pPr>
              <w:snapToGrid w:val="0"/>
              <w:jc w:val="center"/>
              <w:rPr>
                <w:color w:val="auto"/>
                <w:sz w:val="24"/>
              </w:rPr>
            </w:pPr>
            <w:r>
              <w:rPr>
                <w:color w:val="auto"/>
                <w:sz w:val="24"/>
              </w:rPr>
              <w:t>技术职称</w:t>
            </w:r>
          </w:p>
        </w:tc>
        <w:tc>
          <w:tcPr>
            <w:tcW w:w="1039" w:type="dxa"/>
            <w:vAlign w:val="center"/>
          </w:tcPr>
          <w:p>
            <w:pPr>
              <w:snapToGrid w:val="0"/>
              <w:jc w:val="center"/>
              <w:rPr>
                <w:color w:val="auto"/>
                <w:sz w:val="24"/>
              </w:rPr>
            </w:pPr>
          </w:p>
        </w:tc>
        <w:tc>
          <w:tcPr>
            <w:tcW w:w="713" w:type="dxa"/>
            <w:gridSpan w:val="2"/>
            <w:vAlign w:val="center"/>
          </w:tcPr>
          <w:p>
            <w:pPr>
              <w:snapToGrid w:val="0"/>
              <w:jc w:val="center"/>
              <w:rPr>
                <w:color w:val="auto"/>
                <w:sz w:val="24"/>
              </w:rPr>
            </w:pPr>
            <w:r>
              <w:rPr>
                <w:color w:val="auto"/>
                <w:sz w:val="24"/>
              </w:rPr>
              <w:t>电话</w:t>
            </w:r>
          </w:p>
        </w:tc>
        <w:tc>
          <w:tcPr>
            <w:tcW w:w="1381" w:type="dxa"/>
            <w:vAlign w:val="center"/>
          </w:tcPr>
          <w:p>
            <w:pPr>
              <w:snapToGrid w:val="0"/>
              <w:jc w:val="center"/>
              <w:rPr>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71" w:hRule="atLeast"/>
          <w:jc w:val="center"/>
        </w:trPr>
        <w:tc>
          <w:tcPr>
            <w:tcW w:w="1683" w:type="dxa"/>
            <w:tcBorders>
              <w:bottom w:val="single" w:color="auto" w:sz="4" w:space="0"/>
            </w:tcBorders>
            <w:vAlign w:val="center"/>
          </w:tcPr>
          <w:p>
            <w:pPr>
              <w:snapToGrid w:val="0"/>
              <w:jc w:val="center"/>
              <w:rPr>
                <w:color w:val="auto"/>
                <w:sz w:val="24"/>
              </w:rPr>
            </w:pPr>
            <w:r>
              <w:rPr>
                <w:color w:val="auto"/>
                <w:sz w:val="24"/>
              </w:rPr>
              <w:t>成立时间</w:t>
            </w:r>
          </w:p>
        </w:tc>
        <w:tc>
          <w:tcPr>
            <w:tcW w:w="2192" w:type="dxa"/>
            <w:gridSpan w:val="2"/>
            <w:tcBorders>
              <w:bottom w:val="single" w:color="auto" w:sz="4" w:space="0"/>
            </w:tcBorders>
            <w:vAlign w:val="center"/>
          </w:tcPr>
          <w:p>
            <w:pPr>
              <w:snapToGrid w:val="0"/>
              <w:jc w:val="center"/>
              <w:rPr>
                <w:color w:val="auto"/>
                <w:sz w:val="24"/>
              </w:rPr>
            </w:pPr>
          </w:p>
        </w:tc>
        <w:tc>
          <w:tcPr>
            <w:tcW w:w="4365" w:type="dxa"/>
            <w:gridSpan w:val="5"/>
            <w:tcBorders>
              <w:bottom w:val="single" w:color="auto" w:sz="4" w:space="0"/>
            </w:tcBorders>
            <w:vAlign w:val="center"/>
          </w:tcPr>
          <w:p>
            <w:pPr>
              <w:snapToGrid w:val="0"/>
              <w:jc w:val="center"/>
              <w:rPr>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71" w:hRule="atLeast"/>
          <w:jc w:val="center"/>
        </w:trPr>
        <w:tc>
          <w:tcPr>
            <w:tcW w:w="1683" w:type="dxa"/>
            <w:vAlign w:val="center"/>
          </w:tcPr>
          <w:p>
            <w:pPr>
              <w:snapToGrid w:val="0"/>
              <w:jc w:val="center"/>
              <w:rPr>
                <w:color w:val="auto"/>
                <w:sz w:val="24"/>
              </w:rPr>
            </w:pPr>
            <w:r>
              <w:rPr>
                <w:color w:val="auto"/>
                <w:sz w:val="24"/>
              </w:rPr>
              <w:t>企业资质</w:t>
            </w:r>
          </w:p>
        </w:tc>
        <w:tc>
          <w:tcPr>
            <w:tcW w:w="6557" w:type="dxa"/>
            <w:gridSpan w:val="7"/>
            <w:tcBorders>
              <w:bottom w:val="single" w:color="auto" w:sz="4" w:space="0"/>
            </w:tcBorders>
            <w:vAlign w:val="center"/>
          </w:tcPr>
          <w:p>
            <w:pPr>
              <w:snapToGrid w:val="0"/>
              <w:jc w:val="center"/>
              <w:rPr>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71" w:hRule="atLeast"/>
          <w:jc w:val="center"/>
        </w:trPr>
        <w:tc>
          <w:tcPr>
            <w:tcW w:w="1683" w:type="dxa"/>
            <w:vAlign w:val="center"/>
          </w:tcPr>
          <w:p>
            <w:pPr>
              <w:snapToGrid w:val="0"/>
              <w:jc w:val="center"/>
              <w:rPr>
                <w:color w:val="auto"/>
                <w:sz w:val="24"/>
              </w:rPr>
            </w:pPr>
            <w:r>
              <w:rPr>
                <w:color w:val="auto"/>
                <w:sz w:val="24"/>
              </w:rPr>
              <w:t>营业执照号</w:t>
            </w:r>
          </w:p>
        </w:tc>
        <w:tc>
          <w:tcPr>
            <w:tcW w:w="6557" w:type="dxa"/>
            <w:gridSpan w:val="7"/>
            <w:tcBorders>
              <w:top w:val="single" w:color="auto" w:sz="4" w:space="0"/>
              <w:bottom w:val="single" w:color="auto" w:sz="4" w:space="0"/>
            </w:tcBorders>
            <w:vAlign w:val="center"/>
          </w:tcPr>
          <w:p>
            <w:pPr>
              <w:snapToGrid w:val="0"/>
              <w:jc w:val="center"/>
              <w:rPr>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71" w:hRule="atLeast"/>
          <w:jc w:val="center"/>
        </w:trPr>
        <w:tc>
          <w:tcPr>
            <w:tcW w:w="1683" w:type="dxa"/>
            <w:tcBorders>
              <w:bottom w:val="single" w:color="auto" w:sz="4" w:space="0"/>
            </w:tcBorders>
            <w:vAlign w:val="center"/>
          </w:tcPr>
          <w:p>
            <w:pPr>
              <w:snapToGrid w:val="0"/>
              <w:jc w:val="center"/>
              <w:rPr>
                <w:color w:val="auto"/>
                <w:sz w:val="24"/>
              </w:rPr>
            </w:pPr>
            <w:r>
              <w:rPr>
                <w:color w:val="auto"/>
                <w:sz w:val="24"/>
              </w:rPr>
              <w:t>注册资本金</w:t>
            </w:r>
          </w:p>
        </w:tc>
        <w:tc>
          <w:tcPr>
            <w:tcW w:w="6557" w:type="dxa"/>
            <w:gridSpan w:val="7"/>
            <w:tcBorders>
              <w:top w:val="single" w:color="auto" w:sz="4" w:space="0"/>
              <w:bottom w:val="single" w:color="auto" w:sz="4" w:space="0"/>
            </w:tcBorders>
            <w:vAlign w:val="center"/>
          </w:tcPr>
          <w:p>
            <w:pPr>
              <w:snapToGrid w:val="0"/>
              <w:jc w:val="center"/>
              <w:rPr>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71" w:hRule="atLeast"/>
          <w:jc w:val="center"/>
        </w:trPr>
        <w:tc>
          <w:tcPr>
            <w:tcW w:w="1683" w:type="dxa"/>
            <w:vAlign w:val="center"/>
          </w:tcPr>
          <w:p>
            <w:pPr>
              <w:snapToGrid w:val="0"/>
              <w:jc w:val="center"/>
              <w:rPr>
                <w:color w:val="auto"/>
                <w:sz w:val="24"/>
              </w:rPr>
            </w:pPr>
            <w:r>
              <w:rPr>
                <w:color w:val="auto"/>
                <w:sz w:val="24"/>
              </w:rPr>
              <w:t>开户银行</w:t>
            </w:r>
          </w:p>
        </w:tc>
        <w:tc>
          <w:tcPr>
            <w:tcW w:w="6557" w:type="dxa"/>
            <w:gridSpan w:val="7"/>
            <w:tcBorders>
              <w:top w:val="single" w:color="auto" w:sz="4" w:space="0"/>
              <w:bottom w:val="single" w:color="auto" w:sz="4" w:space="0"/>
            </w:tcBorders>
            <w:vAlign w:val="center"/>
          </w:tcPr>
          <w:p>
            <w:pPr>
              <w:snapToGrid w:val="0"/>
              <w:jc w:val="center"/>
              <w:rPr>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71" w:hRule="atLeast"/>
          <w:jc w:val="center"/>
        </w:trPr>
        <w:tc>
          <w:tcPr>
            <w:tcW w:w="1683" w:type="dxa"/>
            <w:vAlign w:val="center"/>
          </w:tcPr>
          <w:p>
            <w:pPr>
              <w:snapToGrid w:val="0"/>
              <w:jc w:val="center"/>
              <w:rPr>
                <w:color w:val="auto"/>
                <w:sz w:val="24"/>
              </w:rPr>
            </w:pPr>
            <w:r>
              <w:rPr>
                <w:color w:val="auto"/>
                <w:sz w:val="24"/>
              </w:rPr>
              <w:t>账号</w:t>
            </w:r>
          </w:p>
        </w:tc>
        <w:tc>
          <w:tcPr>
            <w:tcW w:w="6557" w:type="dxa"/>
            <w:gridSpan w:val="7"/>
            <w:tcBorders>
              <w:top w:val="single" w:color="auto" w:sz="4" w:space="0"/>
            </w:tcBorders>
            <w:vAlign w:val="center"/>
          </w:tcPr>
          <w:p>
            <w:pPr>
              <w:snapToGrid w:val="0"/>
              <w:jc w:val="center"/>
              <w:rPr>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04" w:hRule="atLeast"/>
          <w:jc w:val="center"/>
        </w:trPr>
        <w:tc>
          <w:tcPr>
            <w:tcW w:w="1683" w:type="dxa"/>
            <w:vAlign w:val="center"/>
          </w:tcPr>
          <w:p>
            <w:pPr>
              <w:snapToGrid w:val="0"/>
              <w:jc w:val="center"/>
              <w:rPr>
                <w:color w:val="auto"/>
                <w:sz w:val="24"/>
              </w:rPr>
            </w:pPr>
            <w:r>
              <w:rPr>
                <w:color w:val="auto"/>
                <w:sz w:val="24"/>
              </w:rPr>
              <w:t>经营范围</w:t>
            </w:r>
          </w:p>
        </w:tc>
        <w:tc>
          <w:tcPr>
            <w:tcW w:w="6557" w:type="dxa"/>
            <w:gridSpan w:val="7"/>
            <w:vAlign w:val="center"/>
          </w:tcPr>
          <w:p>
            <w:pPr>
              <w:snapToGrid w:val="0"/>
              <w:jc w:val="center"/>
              <w:rPr>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23" w:hRule="atLeast"/>
          <w:jc w:val="center"/>
        </w:trPr>
        <w:tc>
          <w:tcPr>
            <w:tcW w:w="1683" w:type="dxa"/>
            <w:vAlign w:val="center"/>
          </w:tcPr>
          <w:p>
            <w:pPr>
              <w:snapToGrid w:val="0"/>
              <w:jc w:val="center"/>
              <w:rPr>
                <w:color w:val="auto"/>
                <w:sz w:val="24"/>
              </w:rPr>
            </w:pPr>
            <w:r>
              <w:rPr>
                <w:color w:val="auto"/>
                <w:sz w:val="24"/>
              </w:rPr>
              <w:t>备    注</w:t>
            </w:r>
          </w:p>
        </w:tc>
        <w:tc>
          <w:tcPr>
            <w:tcW w:w="6557" w:type="dxa"/>
            <w:gridSpan w:val="7"/>
            <w:vAlign w:val="center"/>
          </w:tcPr>
          <w:p>
            <w:pPr>
              <w:snapToGrid w:val="0"/>
              <w:jc w:val="center"/>
              <w:rPr>
                <w:color w:val="auto"/>
                <w:sz w:val="24"/>
              </w:rPr>
            </w:pPr>
          </w:p>
        </w:tc>
      </w:tr>
    </w:tbl>
    <w:p>
      <w:pPr>
        <w:adjustRightInd w:val="0"/>
        <w:snapToGrid w:val="0"/>
        <w:spacing w:line="360" w:lineRule="auto"/>
        <w:ind w:firstLine="118" w:firstLineChars="49"/>
        <w:rPr>
          <w:b/>
          <w:color w:val="auto"/>
          <w:sz w:val="24"/>
        </w:rPr>
      </w:pPr>
      <w:r>
        <w:rPr>
          <w:b/>
          <w:color w:val="auto"/>
          <w:sz w:val="24"/>
        </w:rPr>
        <w:t>附：投标人营业执照副本及其年检合格的证明材料、资质证书副本等材料的复印件。</w:t>
      </w:r>
    </w:p>
    <w:p>
      <w:pPr>
        <w:adjustRightInd w:val="0"/>
        <w:snapToGrid w:val="0"/>
        <w:spacing w:before="50" w:line="360" w:lineRule="auto"/>
        <w:ind w:firstLine="480" w:firstLineChars="200"/>
        <w:rPr>
          <w:color w:val="auto"/>
          <w:sz w:val="24"/>
        </w:rPr>
      </w:pPr>
      <w:bookmarkStart w:id="210" w:name="_Toc294206747"/>
      <w:bookmarkStart w:id="211" w:name="_Toc294186064"/>
      <w:r>
        <w:rPr>
          <w:color w:val="auto"/>
          <w:sz w:val="24"/>
        </w:rPr>
        <w:t xml:space="preserve">投标人（单位章）：                                       </w:t>
      </w:r>
    </w:p>
    <w:p>
      <w:pPr>
        <w:adjustRightInd w:val="0"/>
        <w:snapToGrid w:val="0"/>
        <w:spacing w:before="50" w:line="360" w:lineRule="auto"/>
        <w:ind w:firstLine="480" w:firstLineChars="200"/>
        <w:rPr>
          <w:color w:val="auto"/>
          <w:sz w:val="24"/>
        </w:rPr>
      </w:pPr>
    </w:p>
    <w:p>
      <w:pPr>
        <w:adjustRightInd w:val="0"/>
        <w:snapToGrid w:val="0"/>
        <w:spacing w:before="50" w:line="360" w:lineRule="auto"/>
        <w:ind w:firstLine="480" w:firstLineChars="200"/>
        <w:rPr>
          <w:color w:val="auto"/>
          <w:sz w:val="24"/>
        </w:rPr>
      </w:pPr>
      <w:r>
        <w:rPr>
          <w:rFonts w:hint="eastAsia"/>
          <w:color w:val="auto"/>
          <w:sz w:val="24"/>
        </w:rPr>
        <w:t>法定代表人</w:t>
      </w:r>
      <w:r>
        <w:rPr>
          <w:color w:val="auto"/>
          <w:sz w:val="24"/>
        </w:rPr>
        <w:t xml:space="preserve">（经营者）或其授权的代理人(签字)：                          </w:t>
      </w:r>
    </w:p>
    <w:p>
      <w:pPr>
        <w:adjustRightInd w:val="0"/>
        <w:snapToGrid w:val="0"/>
        <w:spacing w:before="50" w:line="360" w:lineRule="auto"/>
        <w:ind w:firstLine="480" w:firstLineChars="200"/>
        <w:rPr>
          <w:color w:val="auto"/>
          <w:sz w:val="24"/>
        </w:rPr>
      </w:pPr>
    </w:p>
    <w:p>
      <w:pPr>
        <w:adjustRightInd w:val="0"/>
        <w:snapToGrid w:val="0"/>
        <w:spacing w:before="50" w:line="360" w:lineRule="auto"/>
        <w:ind w:firstLine="480" w:firstLineChars="200"/>
        <w:rPr>
          <w:color w:val="auto"/>
          <w:sz w:val="24"/>
        </w:rPr>
      </w:pPr>
      <w:r>
        <w:rPr>
          <w:color w:val="auto"/>
          <w:sz w:val="24"/>
        </w:rPr>
        <w:t>日期：       年   月  日</w:t>
      </w:r>
      <w:bookmarkEnd w:id="210"/>
      <w:bookmarkEnd w:id="211"/>
    </w:p>
    <w:p>
      <w:pPr>
        <w:snapToGrid w:val="0"/>
        <w:spacing w:beforeLines="100" w:afterLines="100" w:line="400" w:lineRule="exact"/>
        <w:jc w:val="left"/>
        <w:outlineLvl w:val="2"/>
        <w:rPr>
          <w:b/>
          <w:bCs/>
          <w:color w:val="auto"/>
          <w:sz w:val="30"/>
          <w:szCs w:val="30"/>
        </w:rPr>
      </w:pPr>
      <w:r>
        <w:rPr>
          <w:color w:val="auto"/>
          <w:sz w:val="24"/>
        </w:rPr>
        <w:br w:type="page"/>
      </w:r>
      <w:r>
        <w:rPr>
          <w:b/>
          <w:bCs/>
          <w:color w:val="auto"/>
          <w:sz w:val="30"/>
          <w:szCs w:val="30"/>
        </w:rPr>
        <w:t>附件7.</w:t>
      </w:r>
    </w:p>
    <w:p>
      <w:pPr>
        <w:snapToGrid w:val="0"/>
        <w:spacing w:beforeLines="100" w:afterLines="100" w:line="400" w:lineRule="exact"/>
        <w:jc w:val="center"/>
        <w:rPr>
          <w:b/>
          <w:color w:val="auto"/>
          <w:sz w:val="30"/>
          <w:szCs w:val="30"/>
        </w:rPr>
      </w:pPr>
      <w:r>
        <w:rPr>
          <w:b/>
          <w:color w:val="auto"/>
          <w:sz w:val="30"/>
          <w:szCs w:val="30"/>
        </w:rPr>
        <w:t>参加采购活动前三年内（新注册单位自营业至今）在经营活动中没有重大违法记录的书面声明</w:t>
      </w:r>
    </w:p>
    <w:p>
      <w:pPr>
        <w:adjustRightInd w:val="0"/>
        <w:snapToGrid w:val="0"/>
        <w:spacing w:beforeLines="50" w:line="360" w:lineRule="auto"/>
        <w:ind w:left="-88" w:leftChars="-42"/>
        <w:rPr>
          <w:color w:val="auto"/>
          <w:sz w:val="24"/>
        </w:rPr>
      </w:pPr>
      <w:r>
        <w:rPr>
          <w:color w:val="auto"/>
          <w:sz w:val="24"/>
        </w:rPr>
        <w:t>致</w:t>
      </w:r>
      <w:r>
        <w:rPr>
          <w:color w:val="auto"/>
          <w:sz w:val="24"/>
          <w:u w:val="single"/>
        </w:rPr>
        <w:t>湖南工程学院</w:t>
      </w:r>
      <w:r>
        <w:rPr>
          <w:color w:val="auto"/>
          <w:sz w:val="24"/>
        </w:rPr>
        <w:t>：</w:t>
      </w:r>
    </w:p>
    <w:p>
      <w:pPr>
        <w:widowControl/>
        <w:adjustRightInd w:val="0"/>
        <w:snapToGrid w:val="0"/>
        <w:spacing w:beforeLines="50" w:line="360" w:lineRule="auto"/>
        <w:ind w:firstLine="480" w:firstLineChars="200"/>
        <w:rPr>
          <w:color w:val="auto"/>
          <w:sz w:val="24"/>
        </w:rPr>
      </w:pPr>
      <w:r>
        <w:rPr>
          <w:color w:val="auto"/>
          <w:sz w:val="24"/>
        </w:rPr>
        <w:t>我单位在参加采购活动前三年内（新注册单位自营业至今）在经营活动中没有重大违法记录，包括：</w:t>
      </w:r>
    </w:p>
    <w:p>
      <w:pPr>
        <w:widowControl/>
        <w:adjustRightInd w:val="0"/>
        <w:snapToGrid w:val="0"/>
        <w:spacing w:beforeLines="50" w:line="360" w:lineRule="auto"/>
        <w:ind w:firstLine="480" w:firstLineChars="200"/>
        <w:rPr>
          <w:color w:val="auto"/>
          <w:sz w:val="24"/>
        </w:rPr>
      </w:pPr>
      <w:r>
        <w:rPr>
          <w:color w:val="auto"/>
          <w:sz w:val="24"/>
        </w:rPr>
        <w:t>1.</w:t>
      </w:r>
      <w:r>
        <w:rPr>
          <w:rFonts w:hint="eastAsia"/>
          <w:color w:val="auto"/>
          <w:sz w:val="24"/>
        </w:rPr>
        <w:t>法定代表人</w:t>
      </w:r>
      <w:r>
        <w:rPr>
          <w:color w:val="auto"/>
          <w:sz w:val="24"/>
        </w:rPr>
        <w:t>（经营者）、董事、监事、高级管理人员因经营活动中的违法行为受到行政处罚；</w:t>
      </w:r>
    </w:p>
    <w:p>
      <w:pPr>
        <w:widowControl/>
        <w:adjustRightInd w:val="0"/>
        <w:snapToGrid w:val="0"/>
        <w:spacing w:beforeLines="50" w:line="360" w:lineRule="auto"/>
        <w:ind w:firstLine="480" w:firstLineChars="200"/>
        <w:rPr>
          <w:color w:val="auto"/>
          <w:sz w:val="24"/>
        </w:rPr>
      </w:pPr>
      <w:r>
        <w:rPr>
          <w:color w:val="auto"/>
          <w:sz w:val="24"/>
        </w:rPr>
        <w:t>2.</w:t>
      </w:r>
      <w:r>
        <w:rPr>
          <w:rFonts w:hint="eastAsia"/>
          <w:color w:val="auto"/>
          <w:sz w:val="24"/>
        </w:rPr>
        <w:t>法定代表人</w:t>
      </w:r>
      <w:r>
        <w:rPr>
          <w:color w:val="auto"/>
          <w:sz w:val="24"/>
        </w:rPr>
        <w:t>（经营者）、董事、监事、高级管理人员因经营活动中的违法行为受到刑事处罚。</w:t>
      </w:r>
    </w:p>
    <w:p>
      <w:pPr>
        <w:widowControl/>
        <w:adjustRightInd w:val="0"/>
        <w:snapToGrid w:val="0"/>
        <w:spacing w:beforeLines="50" w:line="360" w:lineRule="auto"/>
        <w:ind w:firstLine="556" w:firstLineChars="232"/>
        <w:rPr>
          <w:color w:val="auto"/>
          <w:sz w:val="24"/>
        </w:rPr>
      </w:pPr>
      <w:r>
        <w:rPr>
          <w:color w:val="auto"/>
          <w:sz w:val="24"/>
        </w:rPr>
        <w:t>特此声明！</w:t>
      </w:r>
    </w:p>
    <w:p>
      <w:pPr>
        <w:widowControl/>
        <w:adjustRightInd w:val="0"/>
        <w:snapToGrid w:val="0"/>
        <w:spacing w:beforeLines="50" w:line="360" w:lineRule="auto"/>
        <w:ind w:firstLine="420"/>
        <w:rPr>
          <w:color w:val="auto"/>
          <w:sz w:val="24"/>
        </w:rPr>
      </w:pPr>
    </w:p>
    <w:p>
      <w:pPr>
        <w:adjustRightInd w:val="0"/>
        <w:snapToGrid w:val="0"/>
        <w:spacing w:beforeLines="50" w:line="360" w:lineRule="auto"/>
        <w:ind w:right="1170" w:rightChars="557"/>
        <w:jc w:val="right"/>
        <w:rPr>
          <w:color w:val="auto"/>
          <w:sz w:val="24"/>
        </w:rPr>
      </w:pPr>
      <w:r>
        <w:rPr>
          <w:color w:val="auto"/>
          <w:sz w:val="24"/>
        </w:rPr>
        <w:t>投标人（单位章）：</w:t>
      </w:r>
    </w:p>
    <w:p>
      <w:pPr>
        <w:adjustRightInd w:val="0"/>
        <w:snapToGrid w:val="0"/>
        <w:spacing w:beforeLines="50" w:line="360" w:lineRule="auto"/>
        <w:ind w:right="1170" w:rightChars="557"/>
        <w:jc w:val="right"/>
        <w:rPr>
          <w:color w:val="auto"/>
          <w:sz w:val="24"/>
        </w:rPr>
      </w:pPr>
      <w:r>
        <w:rPr>
          <w:rFonts w:hint="eastAsia"/>
          <w:color w:val="auto"/>
          <w:sz w:val="24"/>
        </w:rPr>
        <w:t>法定代表人</w:t>
      </w:r>
      <w:r>
        <w:rPr>
          <w:color w:val="auto"/>
          <w:sz w:val="24"/>
        </w:rPr>
        <w:t xml:space="preserve">（经营者）（签字或盖章）：                              </w:t>
      </w:r>
    </w:p>
    <w:p>
      <w:pPr>
        <w:tabs>
          <w:tab w:val="left" w:pos="6075"/>
        </w:tabs>
        <w:spacing w:beforeLines="50" w:afterLines="50" w:line="360" w:lineRule="atLeast"/>
        <w:ind w:right="480"/>
        <w:jc w:val="center"/>
        <w:rPr>
          <w:color w:val="auto"/>
          <w:sz w:val="24"/>
        </w:rPr>
      </w:pPr>
      <w:r>
        <w:rPr>
          <w:color w:val="auto"/>
          <w:sz w:val="24"/>
        </w:rPr>
        <w:t xml:space="preserve">                                                  日期：</w:t>
      </w:r>
    </w:p>
    <w:p>
      <w:pPr>
        <w:spacing w:line="360" w:lineRule="exact"/>
        <w:outlineLvl w:val="2"/>
        <w:rPr>
          <w:color w:val="auto"/>
          <w:sz w:val="24"/>
        </w:rPr>
      </w:pPr>
      <w:r>
        <w:rPr>
          <w:color w:val="auto"/>
          <w:sz w:val="24"/>
        </w:rPr>
        <w:br w:type="page"/>
      </w:r>
      <w:r>
        <w:rPr>
          <w:b/>
          <w:bCs/>
          <w:color w:val="auto"/>
          <w:sz w:val="30"/>
          <w:szCs w:val="30"/>
        </w:rPr>
        <w:t>附件8</w:t>
      </w:r>
    </w:p>
    <w:p>
      <w:pPr>
        <w:spacing w:line="360" w:lineRule="exact"/>
        <w:outlineLvl w:val="2"/>
        <w:rPr>
          <w:b/>
          <w:bCs/>
          <w:color w:val="auto"/>
          <w:sz w:val="28"/>
          <w:szCs w:val="28"/>
        </w:rPr>
      </w:pPr>
    </w:p>
    <w:p>
      <w:pPr>
        <w:rPr>
          <w:color w:val="auto"/>
          <w:sz w:val="30"/>
          <w:szCs w:val="30"/>
        </w:rPr>
      </w:pPr>
      <w:r>
        <w:rPr>
          <w:rFonts w:hint="eastAsia"/>
          <w:b/>
          <w:bCs/>
          <w:color w:val="auto"/>
          <w:sz w:val="28"/>
          <w:szCs w:val="28"/>
        </w:rPr>
        <w:t>提供依法缴纳税收和缴纳社会保险证明材料的复印件。</w:t>
      </w:r>
    </w:p>
    <w:p>
      <w:pPr>
        <w:spacing w:line="360" w:lineRule="exact"/>
        <w:outlineLvl w:val="2"/>
        <w:rPr>
          <w:b/>
          <w:bCs/>
          <w:color w:val="auto"/>
          <w:sz w:val="28"/>
          <w:szCs w:val="28"/>
        </w:rPr>
      </w:pPr>
    </w:p>
    <w:p>
      <w:pPr>
        <w:spacing w:line="360" w:lineRule="exact"/>
        <w:outlineLvl w:val="2"/>
        <w:rPr>
          <w:b/>
          <w:bCs/>
          <w:color w:val="auto"/>
          <w:sz w:val="28"/>
          <w:szCs w:val="28"/>
        </w:rPr>
      </w:pPr>
    </w:p>
    <w:p>
      <w:pPr>
        <w:spacing w:line="360" w:lineRule="exact"/>
        <w:outlineLvl w:val="2"/>
        <w:rPr>
          <w:b/>
          <w:bCs/>
          <w:color w:val="auto"/>
          <w:sz w:val="28"/>
          <w:szCs w:val="28"/>
        </w:rPr>
      </w:pPr>
    </w:p>
    <w:p>
      <w:pPr>
        <w:spacing w:line="360" w:lineRule="exact"/>
        <w:outlineLvl w:val="2"/>
        <w:rPr>
          <w:b/>
          <w:bCs/>
          <w:color w:val="auto"/>
          <w:sz w:val="28"/>
          <w:szCs w:val="28"/>
        </w:rPr>
      </w:pPr>
    </w:p>
    <w:p>
      <w:pPr>
        <w:spacing w:line="360" w:lineRule="exact"/>
        <w:outlineLvl w:val="2"/>
        <w:rPr>
          <w:b/>
          <w:bCs/>
          <w:color w:val="auto"/>
          <w:sz w:val="28"/>
          <w:szCs w:val="28"/>
        </w:rPr>
      </w:pPr>
    </w:p>
    <w:p>
      <w:pPr>
        <w:spacing w:line="360" w:lineRule="exact"/>
        <w:outlineLvl w:val="2"/>
        <w:rPr>
          <w:b/>
          <w:bCs/>
          <w:color w:val="auto"/>
          <w:sz w:val="28"/>
          <w:szCs w:val="28"/>
        </w:rPr>
      </w:pPr>
    </w:p>
    <w:p>
      <w:pPr>
        <w:spacing w:line="360" w:lineRule="exact"/>
        <w:outlineLvl w:val="2"/>
        <w:rPr>
          <w:b/>
          <w:bCs/>
          <w:color w:val="auto"/>
          <w:sz w:val="28"/>
          <w:szCs w:val="28"/>
        </w:rPr>
      </w:pPr>
    </w:p>
    <w:p>
      <w:pPr>
        <w:spacing w:line="360" w:lineRule="exact"/>
        <w:outlineLvl w:val="2"/>
        <w:rPr>
          <w:b/>
          <w:bCs/>
          <w:color w:val="auto"/>
          <w:sz w:val="28"/>
          <w:szCs w:val="28"/>
        </w:rPr>
      </w:pPr>
    </w:p>
    <w:p>
      <w:pPr>
        <w:spacing w:line="360" w:lineRule="exact"/>
        <w:outlineLvl w:val="2"/>
        <w:rPr>
          <w:b/>
          <w:bCs/>
          <w:color w:val="auto"/>
          <w:sz w:val="28"/>
          <w:szCs w:val="28"/>
        </w:rPr>
      </w:pPr>
    </w:p>
    <w:p>
      <w:pPr>
        <w:spacing w:line="360" w:lineRule="exact"/>
        <w:outlineLvl w:val="2"/>
        <w:rPr>
          <w:b/>
          <w:bCs/>
          <w:color w:val="auto"/>
          <w:sz w:val="28"/>
          <w:szCs w:val="28"/>
        </w:rPr>
      </w:pPr>
    </w:p>
    <w:p>
      <w:pPr>
        <w:spacing w:line="360" w:lineRule="exact"/>
        <w:outlineLvl w:val="2"/>
        <w:rPr>
          <w:b/>
          <w:bCs/>
          <w:color w:val="auto"/>
          <w:sz w:val="28"/>
          <w:szCs w:val="28"/>
        </w:rPr>
      </w:pPr>
    </w:p>
    <w:p>
      <w:pPr>
        <w:spacing w:line="360" w:lineRule="exact"/>
        <w:outlineLvl w:val="2"/>
        <w:rPr>
          <w:b/>
          <w:bCs/>
          <w:color w:val="auto"/>
          <w:sz w:val="28"/>
          <w:szCs w:val="28"/>
        </w:rPr>
      </w:pPr>
    </w:p>
    <w:p>
      <w:pPr>
        <w:spacing w:line="360" w:lineRule="exact"/>
        <w:outlineLvl w:val="2"/>
        <w:rPr>
          <w:b/>
          <w:bCs/>
          <w:color w:val="auto"/>
          <w:sz w:val="28"/>
          <w:szCs w:val="28"/>
        </w:rPr>
      </w:pPr>
    </w:p>
    <w:p>
      <w:pPr>
        <w:spacing w:line="360" w:lineRule="exact"/>
        <w:outlineLvl w:val="2"/>
        <w:rPr>
          <w:b/>
          <w:bCs/>
          <w:color w:val="auto"/>
          <w:sz w:val="28"/>
          <w:szCs w:val="28"/>
        </w:rPr>
      </w:pPr>
    </w:p>
    <w:p>
      <w:pPr>
        <w:spacing w:line="360" w:lineRule="exact"/>
        <w:outlineLvl w:val="2"/>
        <w:rPr>
          <w:b/>
          <w:bCs/>
          <w:color w:val="auto"/>
          <w:sz w:val="28"/>
          <w:szCs w:val="28"/>
        </w:rPr>
      </w:pPr>
    </w:p>
    <w:p>
      <w:pPr>
        <w:spacing w:line="360" w:lineRule="exact"/>
        <w:outlineLvl w:val="2"/>
        <w:rPr>
          <w:b/>
          <w:bCs/>
          <w:color w:val="auto"/>
          <w:sz w:val="28"/>
          <w:szCs w:val="28"/>
        </w:rPr>
      </w:pPr>
    </w:p>
    <w:p>
      <w:pPr>
        <w:spacing w:line="360" w:lineRule="exact"/>
        <w:outlineLvl w:val="2"/>
        <w:rPr>
          <w:b/>
          <w:bCs/>
          <w:color w:val="auto"/>
          <w:sz w:val="28"/>
          <w:szCs w:val="28"/>
        </w:rPr>
      </w:pPr>
    </w:p>
    <w:p>
      <w:pPr>
        <w:spacing w:line="360" w:lineRule="exact"/>
        <w:outlineLvl w:val="2"/>
        <w:rPr>
          <w:b/>
          <w:bCs/>
          <w:color w:val="auto"/>
          <w:sz w:val="28"/>
          <w:szCs w:val="28"/>
        </w:rPr>
      </w:pPr>
    </w:p>
    <w:p>
      <w:pPr>
        <w:spacing w:line="360" w:lineRule="exact"/>
        <w:outlineLvl w:val="2"/>
        <w:rPr>
          <w:b/>
          <w:bCs/>
          <w:color w:val="auto"/>
          <w:sz w:val="28"/>
          <w:szCs w:val="28"/>
        </w:rPr>
      </w:pPr>
    </w:p>
    <w:p>
      <w:pPr>
        <w:spacing w:line="360" w:lineRule="exact"/>
        <w:outlineLvl w:val="2"/>
        <w:rPr>
          <w:b/>
          <w:bCs/>
          <w:color w:val="auto"/>
          <w:sz w:val="28"/>
          <w:szCs w:val="28"/>
        </w:rPr>
      </w:pPr>
    </w:p>
    <w:p>
      <w:pPr>
        <w:spacing w:line="360" w:lineRule="exact"/>
        <w:outlineLvl w:val="2"/>
        <w:rPr>
          <w:b/>
          <w:bCs/>
          <w:color w:val="auto"/>
          <w:sz w:val="28"/>
          <w:szCs w:val="28"/>
        </w:rPr>
      </w:pPr>
    </w:p>
    <w:p>
      <w:pPr>
        <w:spacing w:line="360" w:lineRule="exact"/>
        <w:outlineLvl w:val="2"/>
        <w:rPr>
          <w:b/>
          <w:bCs/>
          <w:color w:val="auto"/>
          <w:sz w:val="28"/>
          <w:szCs w:val="28"/>
        </w:rPr>
      </w:pPr>
    </w:p>
    <w:p>
      <w:pPr>
        <w:spacing w:line="360" w:lineRule="exact"/>
        <w:outlineLvl w:val="2"/>
        <w:rPr>
          <w:b/>
          <w:bCs/>
          <w:color w:val="auto"/>
          <w:sz w:val="28"/>
          <w:szCs w:val="28"/>
        </w:rPr>
      </w:pPr>
    </w:p>
    <w:p>
      <w:pPr>
        <w:spacing w:line="360" w:lineRule="exact"/>
        <w:outlineLvl w:val="2"/>
        <w:rPr>
          <w:b/>
          <w:bCs/>
          <w:color w:val="auto"/>
          <w:sz w:val="28"/>
          <w:szCs w:val="28"/>
        </w:rPr>
      </w:pPr>
    </w:p>
    <w:p>
      <w:pPr>
        <w:spacing w:line="360" w:lineRule="exact"/>
        <w:outlineLvl w:val="2"/>
        <w:rPr>
          <w:b/>
          <w:bCs/>
          <w:color w:val="auto"/>
          <w:sz w:val="28"/>
          <w:szCs w:val="28"/>
        </w:rPr>
      </w:pPr>
    </w:p>
    <w:p>
      <w:pPr>
        <w:spacing w:line="360" w:lineRule="exact"/>
        <w:outlineLvl w:val="2"/>
        <w:rPr>
          <w:b/>
          <w:bCs/>
          <w:color w:val="auto"/>
          <w:sz w:val="28"/>
          <w:szCs w:val="28"/>
        </w:rPr>
      </w:pPr>
    </w:p>
    <w:p>
      <w:pPr>
        <w:spacing w:line="360" w:lineRule="exact"/>
        <w:outlineLvl w:val="2"/>
        <w:rPr>
          <w:b/>
          <w:bCs/>
          <w:color w:val="auto"/>
          <w:sz w:val="28"/>
          <w:szCs w:val="28"/>
        </w:rPr>
      </w:pPr>
    </w:p>
    <w:p>
      <w:pPr>
        <w:spacing w:line="360" w:lineRule="exact"/>
        <w:outlineLvl w:val="2"/>
        <w:rPr>
          <w:b/>
          <w:bCs/>
          <w:color w:val="auto"/>
          <w:sz w:val="28"/>
          <w:szCs w:val="28"/>
        </w:rPr>
      </w:pPr>
    </w:p>
    <w:p>
      <w:pPr>
        <w:spacing w:line="360" w:lineRule="exact"/>
        <w:outlineLvl w:val="2"/>
        <w:rPr>
          <w:b/>
          <w:bCs/>
          <w:color w:val="auto"/>
          <w:sz w:val="28"/>
          <w:szCs w:val="28"/>
        </w:rPr>
      </w:pPr>
    </w:p>
    <w:p>
      <w:pPr>
        <w:spacing w:line="360" w:lineRule="exact"/>
        <w:outlineLvl w:val="2"/>
        <w:rPr>
          <w:b/>
          <w:bCs/>
          <w:color w:val="auto"/>
          <w:sz w:val="28"/>
          <w:szCs w:val="28"/>
        </w:rPr>
      </w:pPr>
    </w:p>
    <w:p>
      <w:pPr>
        <w:spacing w:line="360" w:lineRule="exact"/>
        <w:outlineLvl w:val="2"/>
        <w:rPr>
          <w:b/>
          <w:bCs/>
          <w:color w:val="auto"/>
          <w:sz w:val="28"/>
          <w:szCs w:val="28"/>
        </w:rPr>
      </w:pPr>
    </w:p>
    <w:p>
      <w:pPr>
        <w:spacing w:line="360" w:lineRule="exact"/>
        <w:outlineLvl w:val="2"/>
        <w:rPr>
          <w:b/>
          <w:bCs/>
          <w:color w:val="auto"/>
          <w:sz w:val="28"/>
          <w:szCs w:val="28"/>
        </w:rPr>
      </w:pPr>
    </w:p>
    <w:p>
      <w:pPr>
        <w:spacing w:line="360" w:lineRule="exact"/>
        <w:outlineLvl w:val="2"/>
        <w:rPr>
          <w:b/>
          <w:bCs/>
          <w:color w:val="auto"/>
          <w:sz w:val="28"/>
          <w:szCs w:val="28"/>
        </w:rPr>
      </w:pPr>
    </w:p>
    <w:p>
      <w:pPr>
        <w:spacing w:line="360" w:lineRule="exact"/>
        <w:outlineLvl w:val="2"/>
        <w:rPr>
          <w:b/>
          <w:bCs/>
          <w:color w:val="auto"/>
          <w:sz w:val="28"/>
          <w:szCs w:val="28"/>
        </w:rPr>
      </w:pPr>
    </w:p>
    <w:p>
      <w:pPr>
        <w:spacing w:line="360" w:lineRule="exact"/>
        <w:outlineLvl w:val="2"/>
        <w:rPr>
          <w:b/>
          <w:bCs/>
          <w:color w:val="auto"/>
          <w:sz w:val="28"/>
          <w:szCs w:val="28"/>
        </w:rPr>
      </w:pPr>
    </w:p>
    <w:p>
      <w:pPr>
        <w:spacing w:line="360" w:lineRule="exact"/>
        <w:outlineLvl w:val="2"/>
        <w:rPr>
          <w:b/>
          <w:bCs/>
          <w:color w:val="auto"/>
          <w:sz w:val="28"/>
          <w:szCs w:val="28"/>
        </w:rPr>
      </w:pPr>
      <w:r>
        <w:rPr>
          <w:b/>
          <w:bCs/>
          <w:color w:val="auto"/>
          <w:sz w:val="30"/>
          <w:szCs w:val="30"/>
        </w:rPr>
        <w:br w:type="page"/>
      </w:r>
      <w:r>
        <w:rPr>
          <w:b/>
          <w:bCs/>
          <w:color w:val="auto"/>
          <w:sz w:val="30"/>
          <w:szCs w:val="30"/>
        </w:rPr>
        <w:t>附件9</w:t>
      </w:r>
    </w:p>
    <w:p>
      <w:pPr>
        <w:rPr>
          <w:b/>
          <w:bCs/>
          <w:color w:val="auto"/>
          <w:sz w:val="28"/>
          <w:szCs w:val="28"/>
        </w:rPr>
      </w:pPr>
    </w:p>
    <w:p>
      <w:pPr>
        <w:pStyle w:val="4"/>
        <w:rPr>
          <w:bCs/>
          <w:color w:val="auto"/>
          <w:sz w:val="30"/>
          <w:szCs w:val="30"/>
        </w:rPr>
      </w:pPr>
      <w:r>
        <w:rPr>
          <w:rFonts w:hint="eastAsia"/>
          <w:bCs/>
          <w:color w:val="auto"/>
          <w:sz w:val="30"/>
          <w:szCs w:val="30"/>
        </w:rPr>
        <w:t>法律、行政法规规定的其他资格条件证明材料</w:t>
      </w:r>
    </w:p>
    <w:p>
      <w:pPr>
        <w:pStyle w:val="4"/>
        <w:rPr>
          <w:b w:val="0"/>
          <w:bCs/>
          <w:color w:val="auto"/>
          <w:sz w:val="24"/>
        </w:rPr>
      </w:pPr>
      <w:r>
        <w:rPr>
          <w:rFonts w:hint="eastAsia"/>
          <w:b w:val="0"/>
          <w:bCs/>
          <w:color w:val="auto"/>
          <w:sz w:val="24"/>
        </w:rPr>
        <w:t>备注：包括投标人从事投标货物的生产、销售或经营、安装、集成等证明材料的复印件。</w:t>
      </w:r>
    </w:p>
    <w:p>
      <w:pPr>
        <w:pStyle w:val="18"/>
        <w:spacing w:before="46" w:line="240" w:lineRule="auto"/>
        <w:ind w:left="15" w:leftChars="7" w:right="-218" w:rightChars="-104" w:firstLine="801" w:firstLineChars="267"/>
        <w:rPr>
          <w:bCs/>
          <w:color w:val="auto"/>
          <w:sz w:val="30"/>
          <w:szCs w:val="30"/>
        </w:rPr>
      </w:pPr>
      <w:r>
        <w:rPr>
          <w:bCs/>
          <w:color w:val="auto"/>
          <w:sz w:val="30"/>
          <w:szCs w:val="30"/>
        </w:rPr>
        <w:br w:type="page"/>
      </w:r>
    </w:p>
    <w:p>
      <w:pPr>
        <w:pStyle w:val="4"/>
        <w:rPr>
          <w:bCs/>
          <w:color w:val="auto"/>
          <w:sz w:val="30"/>
          <w:szCs w:val="30"/>
        </w:rPr>
      </w:pPr>
      <w:r>
        <w:rPr>
          <w:rFonts w:hint="eastAsia"/>
          <w:bCs/>
          <w:color w:val="auto"/>
          <w:sz w:val="30"/>
          <w:szCs w:val="30"/>
        </w:rPr>
        <w:t>附件10.</w:t>
      </w:r>
    </w:p>
    <w:p>
      <w:pPr>
        <w:jc w:val="center"/>
        <w:rPr>
          <w:color w:val="auto"/>
          <w:sz w:val="30"/>
          <w:szCs w:val="30"/>
        </w:rPr>
      </w:pPr>
      <w:r>
        <w:rPr>
          <w:color w:val="auto"/>
          <w:sz w:val="30"/>
          <w:szCs w:val="30"/>
        </w:rPr>
        <w:t>技术响应文件</w:t>
      </w:r>
    </w:p>
    <w:bookmarkEnd w:id="209"/>
    <w:p>
      <w:pPr>
        <w:pStyle w:val="18"/>
        <w:spacing w:before="46" w:line="240" w:lineRule="auto"/>
        <w:ind w:right="-218" w:rightChars="-104" w:firstLine="120" w:firstLineChars="50"/>
        <w:rPr>
          <w:color w:val="auto"/>
        </w:rPr>
      </w:pPr>
      <w:r>
        <w:rPr>
          <w:rFonts w:hint="eastAsia"/>
          <w:color w:val="auto"/>
        </w:rPr>
        <w:t>1.</w:t>
      </w:r>
      <w:r>
        <w:rPr>
          <w:color w:val="auto"/>
        </w:rPr>
        <w:t>投标货物技术简要说明</w:t>
      </w:r>
    </w:p>
    <w:p>
      <w:pPr>
        <w:pStyle w:val="18"/>
        <w:spacing w:before="46" w:line="240" w:lineRule="auto"/>
        <w:ind w:left="108" w:right="-218" w:rightChars="-104"/>
        <w:rPr>
          <w:color w:val="auto"/>
        </w:rPr>
      </w:pPr>
      <w:r>
        <w:rPr>
          <w:rFonts w:hint="eastAsia"/>
          <w:color w:val="auto"/>
        </w:rPr>
        <w:t>2</w:t>
      </w:r>
      <w:r>
        <w:rPr>
          <w:color w:val="auto"/>
        </w:rPr>
        <w:t>.*售后服务承诺书（产品售后服务承诺书及供货时效说明书）</w:t>
      </w:r>
    </w:p>
    <w:p>
      <w:pPr>
        <w:pStyle w:val="18"/>
        <w:spacing w:before="77" w:line="240" w:lineRule="auto"/>
        <w:ind w:left="108" w:right="-218" w:rightChars="-104"/>
        <w:rPr>
          <w:color w:val="auto"/>
        </w:rPr>
      </w:pPr>
      <w:r>
        <w:rPr>
          <w:rFonts w:hint="eastAsia"/>
          <w:color w:val="auto"/>
        </w:rPr>
        <w:t>3</w:t>
      </w:r>
      <w:r>
        <w:rPr>
          <w:color w:val="auto"/>
        </w:rPr>
        <w:t>.货物制造、验收规范等</w:t>
      </w:r>
    </w:p>
    <w:p>
      <w:pPr>
        <w:pStyle w:val="18"/>
        <w:spacing w:before="77" w:line="240" w:lineRule="auto"/>
        <w:ind w:left="108" w:right="-218" w:rightChars="-104"/>
        <w:rPr>
          <w:b/>
          <w:bCs/>
          <w:color w:val="auto"/>
          <w:spacing w:val="-6"/>
        </w:rPr>
      </w:pPr>
      <w:r>
        <w:rPr>
          <w:rFonts w:hint="eastAsia"/>
          <w:color w:val="auto"/>
        </w:rPr>
        <w:t>4</w:t>
      </w:r>
      <w:r>
        <w:rPr>
          <w:rFonts w:hint="eastAsia"/>
          <w:b/>
          <w:bCs/>
          <w:color w:val="auto"/>
        </w:rPr>
        <w:t>.</w:t>
      </w:r>
      <w:r>
        <w:rPr>
          <w:rFonts w:hint="eastAsia"/>
          <w:b/>
          <w:bCs/>
          <w:color w:val="auto"/>
          <w:spacing w:val="-6"/>
          <w:u w:val="single"/>
        </w:rPr>
        <w:t>投标产品的产品介绍、技术参数</w:t>
      </w:r>
    </w:p>
    <w:p>
      <w:pPr>
        <w:tabs>
          <w:tab w:val="left" w:pos="6075"/>
        </w:tabs>
        <w:spacing w:beforeLines="50" w:afterLines="50"/>
        <w:ind w:right="480"/>
        <w:jc w:val="center"/>
        <w:rPr>
          <w:b/>
          <w:bCs/>
          <w:color w:val="FFFFFF"/>
          <w:sz w:val="24"/>
        </w:rPr>
      </w:pPr>
      <w:r>
        <w:rPr>
          <w:rFonts w:hint="eastAsia"/>
          <w:sz w:val="24"/>
        </w:rPr>
        <w:br w:type="page"/>
      </w:r>
      <w:r>
        <w:rPr>
          <w:b/>
          <w:bCs/>
          <w:color w:val="FFFFFF"/>
          <w:sz w:val="32"/>
          <w:szCs w:val="32"/>
        </w:rPr>
        <w:t>中标单位</w:t>
      </w:r>
      <w:r>
        <w:rPr>
          <w:b/>
          <w:bCs/>
          <w:color w:val="FFFFFF"/>
          <w:sz w:val="28"/>
          <w:szCs w:val="28"/>
        </w:rPr>
        <w:t>投标文件</w:t>
      </w:r>
      <w:r>
        <w:rPr>
          <w:b/>
          <w:bCs/>
          <w:color w:val="FFFFFF"/>
          <w:sz w:val="24"/>
        </w:rPr>
        <w:t>电子稿发到邮箱</w:t>
      </w:r>
    </w:p>
    <w:p>
      <w:pPr>
        <w:tabs>
          <w:tab w:val="left" w:pos="6075"/>
        </w:tabs>
        <w:spacing w:beforeLines="50" w:afterLines="50"/>
        <w:ind w:right="480"/>
        <w:jc w:val="center"/>
        <w:rPr>
          <w:b/>
          <w:bCs/>
          <w:color w:val="FF0000"/>
          <w:sz w:val="24"/>
        </w:rPr>
      </w:pPr>
      <w:r>
        <w:rPr>
          <w:b/>
          <w:bCs/>
          <w:color w:val="FF0000"/>
          <w:sz w:val="24"/>
        </w:rPr>
        <w:t>投标单位将退款通知单电子稿发到40055@ hnie.edu.cn邮箱</w:t>
      </w:r>
    </w:p>
    <w:p>
      <w:pPr>
        <w:pBdr>
          <w:bottom w:val="single" w:color="auto" w:sz="4" w:space="0"/>
        </w:pBdr>
        <w:ind w:right="-313" w:rightChars="-149"/>
        <w:jc w:val="center"/>
        <w:rPr>
          <w:b/>
          <w:bCs/>
          <w:sz w:val="30"/>
          <w:szCs w:val="30"/>
        </w:rPr>
      </w:pPr>
      <w:r>
        <w:rPr>
          <w:b/>
          <w:bCs/>
          <w:sz w:val="30"/>
          <w:szCs w:val="30"/>
        </w:rPr>
        <w:t>附件1</w:t>
      </w:r>
      <w:r>
        <w:rPr>
          <w:rFonts w:hint="eastAsia"/>
          <w:b/>
          <w:bCs/>
          <w:sz w:val="30"/>
          <w:szCs w:val="30"/>
        </w:rPr>
        <w:t>1</w:t>
      </w:r>
      <w:r>
        <w:rPr>
          <w:b/>
          <w:bCs/>
          <w:sz w:val="30"/>
          <w:szCs w:val="30"/>
        </w:rPr>
        <w:t>.</w:t>
      </w:r>
      <w:r>
        <w:rPr>
          <w:b/>
          <w:bCs/>
          <w:sz w:val="28"/>
          <w:szCs w:val="28"/>
        </w:rPr>
        <w:t xml:space="preserve">* </w:t>
      </w:r>
      <w:r>
        <w:rPr>
          <w:b/>
          <w:bCs/>
          <w:sz w:val="30"/>
          <w:szCs w:val="30"/>
        </w:rPr>
        <w:t>保证金（</w:t>
      </w:r>
      <w:r>
        <w:rPr>
          <w:b/>
          <w:bCs/>
          <w:sz w:val="24"/>
        </w:rPr>
        <w:t>纸质稿不装订在投标响应文件中，投标当天交给工作人员）</w:t>
      </w:r>
    </w:p>
    <w:p>
      <w:pPr>
        <w:ind w:left="-420" w:leftChars="-200"/>
        <w:jc w:val="center"/>
        <w:rPr>
          <w:rFonts w:eastAsia="黑体"/>
          <w:sz w:val="44"/>
          <w:szCs w:val="44"/>
        </w:rPr>
      </w:pPr>
    </w:p>
    <w:p>
      <w:pPr>
        <w:jc w:val="center"/>
        <w:rPr>
          <w:rFonts w:eastAsia="黑体"/>
          <w:sz w:val="44"/>
          <w:szCs w:val="44"/>
        </w:rPr>
      </w:pPr>
      <w:r>
        <w:rPr>
          <w:rFonts w:eastAsia="黑体"/>
          <w:sz w:val="44"/>
          <w:szCs w:val="44"/>
        </w:rPr>
        <w:t>投标保证金退款通知单</w:t>
      </w:r>
    </w:p>
    <w:p>
      <w:pPr>
        <w:spacing w:line="480" w:lineRule="exact"/>
        <w:ind w:left="840" w:leftChars="-200" w:hanging="1260" w:hangingChars="394"/>
        <w:jc w:val="left"/>
        <w:rPr>
          <w:rFonts w:eastAsia="楷体_GB2312"/>
          <w:sz w:val="32"/>
          <w:szCs w:val="32"/>
        </w:rPr>
      </w:pPr>
      <w:r>
        <w:rPr>
          <w:rFonts w:eastAsia="楷体_GB2312"/>
          <w:sz w:val="32"/>
          <w:szCs w:val="32"/>
        </w:rPr>
        <w:t>湖南工程学院计划财务处：</w:t>
      </w:r>
    </w:p>
    <w:p>
      <w:pPr>
        <w:spacing w:line="320" w:lineRule="exact"/>
        <w:ind w:firstLine="1680" w:firstLineChars="700"/>
        <w:rPr>
          <w:rFonts w:eastAsia="楷体_GB2312"/>
          <w:sz w:val="24"/>
        </w:rPr>
      </w:pPr>
      <w:r>
        <w:rPr>
          <w:rFonts w:eastAsia="楷体_GB2312"/>
          <w:sz w:val="24"/>
        </w:rPr>
        <w:t>请退回下列单位投标保证金，列表如下：</w:t>
      </w:r>
    </w:p>
    <w:tbl>
      <w:tblPr>
        <w:tblStyle w:val="47"/>
        <w:tblpPr w:leftFromText="180" w:rightFromText="180" w:vertAnchor="text" w:horzAnchor="page" w:tblpX="925" w:tblpY="287"/>
        <w:tblOverlap w:val="never"/>
        <w:tblW w:w="101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3187"/>
        <w:gridCol w:w="2685"/>
        <w:gridCol w:w="2102"/>
        <w:gridCol w:w="14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trPr>
        <w:tc>
          <w:tcPr>
            <w:tcW w:w="3937" w:type="dxa"/>
            <w:gridSpan w:val="2"/>
            <w:vAlign w:val="center"/>
          </w:tcPr>
          <w:p>
            <w:pPr>
              <w:spacing w:line="320" w:lineRule="exact"/>
              <w:jc w:val="center"/>
              <w:rPr>
                <w:rFonts w:eastAsia="楷体_GB2312"/>
                <w:sz w:val="24"/>
              </w:rPr>
            </w:pPr>
            <w:r>
              <w:rPr>
                <w:rFonts w:eastAsia="楷体_GB2312"/>
                <w:sz w:val="24"/>
              </w:rPr>
              <w:t>投标项目</w:t>
            </w:r>
          </w:p>
        </w:tc>
        <w:tc>
          <w:tcPr>
            <w:tcW w:w="6221" w:type="dxa"/>
            <w:gridSpan w:val="3"/>
            <w:vAlign w:val="center"/>
          </w:tcPr>
          <w:p>
            <w:pPr>
              <w:spacing w:line="320" w:lineRule="exact"/>
              <w:rPr>
                <w:rFonts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50" w:type="dxa"/>
            <w:vAlign w:val="center"/>
          </w:tcPr>
          <w:p>
            <w:pPr>
              <w:spacing w:line="320" w:lineRule="exact"/>
              <w:rPr>
                <w:rFonts w:eastAsia="楷体_GB2312"/>
                <w:sz w:val="24"/>
              </w:rPr>
            </w:pPr>
            <w:r>
              <w:rPr>
                <w:rFonts w:eastAsia="楷体_GB2312"/>
                <w:sz w:val="24"/>
              </w:rPr>
              <w:t>序号</w:t>
            </w:r>
          </w:p>
        </w:tc>
        <w:tc>
          <w:tcPr>
            <w:tcW w:w="3187" w:type="dxa"/>
            <w:vAlign w:val="center"/>
          </w:tcPr>
          <w:p>
            <w:pPr>
              <w:spacing w:line="320" w:lineRule="exact"/>
              <w:jc w:val="center"/>
              <w:rPr>
                <w:rFonts w:eastAsia="楷体_GB2312"/>
                <w:sz w:val="24"/>
              </w:rPr>
            </w:pPr>
            <w:r>
              <w:rPr>
                <w:rFonts w:eastAsia="楷体_GB2312"/>
                <w:sz w:val="24"/>
              </w:rPr>
              <w:t>付款人户名</w:t>
            </w:r>
          </w:p>
        </w:tc>
        <w:tc>
          <w:tcPr>
            <w:tcW w:w="2685" w:type="dxa"/>
            <w:vAlign w:val="center"/>
          </w:tcPr>
          <w:p>
            <w:pPr>
              <w:spacing w:line="320" w:lineRule="exact"/>
              <w:rPr>
                <w:rFonts w:eastAsia="楷体_GB2312"/>
                <w:sz w:val="24"/>
              </w:rPr>
            </w:pPr>
            <w:r>
              <w:rPr>
                <w:rFonts w:eastAsia="楷体_GB2312"/>
                <w:sz w:val="24"/>
              </w:rPr>
              <w:t>开户行</w:t>
            </w:r>
          </w:p>
        </w:tc>
        <w:tc>
          <w:tcPr>
            <w:tcW w:w="2102" w:type="dxa"/>
            <w:vAlign w:val="center"/>
          </w:tcPr>
          <w:p>
            <w:pPr>
              <w:spacing w:line="320" w:lineRule="exact"/>
              <w:rPr>
                <w:rFonts w:eastAsia="楷体_GB2312"/>
                <w:sz w:val="24"/>
              </w:rPr>
            </w:pPr>
            <w:r>
              <w:rPr>
                <w:rFonts w:eastAsia="楷体_GB2312"/>
                <w:sz w:val="24"/>
              </w:rPr>
              <w:t>帐号</w:t>
            </w:r>
          </w:p>
        </w:tc>
        <w:tc>
          <w:tcPr>
            <w:tcW w:w="1434" w:type="dxa"/>
            <w:vAlign w:val="center"/>
          </w:tcPr>
          <w:p>
            <w:pPr>
              <w:spacing w:line="320" w:lineRule="exact"/>
              <w:rPr>
                <w:rFonts w:eastAsia="楷体_GB2312"/>
                <w:sz w:val="24"/>
              </w:rPr>
            </w:pPr>
            <w:r>
              <w:rPr>
                <w:rFonts w:eastAsia="楷体_GB2312"/>
                <w:sz w:val="24"/>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50" w:type="dxa"/>
            <w:vAlign w:val="center"/>
          </w:tcPr>
          <w:p>
            <w:pPr>
              <w:spacing w:line="320" w:lineRule="exact"/>
              <w:rPr>
                <w:rFonts w:eastAsia="楷体_GB2312"/>
                <w:sz w:val="24"/>
              </w:rPr>
            </w:pPr>
            <w:r>
              <w:rPr>
                <w:rFonts w:eastAsia="楷体_GB2312"/>
                <w:sz w:val="24"/>
              </w:rPr>
              <w:t>1</w:t>
            </w:r>
          </w:p>
        </w:tc>
        <w:tc>
          <w:tcPr>
            <w:tcW w:w="3187" w:type="dxa"/>
            <w:vAlign w:val="center"/>
          </w:tcPr>
          <w:p>
            <w:pPr>
              <w:spacing w:line="320" w:lineRule="exact"/>
              <w:rPr>
                <w:rFonts w:eastAsia="楷体_GB2312"/>
                <w:sz w:val="24"/>
              </w:rPr>
            </w:pPr>
            <w:r>
              <w:rPr>
                <w:rFonts w:hint="eastAsia" w:eastAsia="楷体_GB2312"/>
                <w:b/>
                <w:bCs/>
                <w:color w:val="FF0000"/>
                <w:sz w:val="24"/>
              </w:rPr>
              <w:t>填写的名称必须与转账单的名称相符，否则户名不一致，银行不退款</w:t>
            </w:r>
          </w:p>
        </w:tc>
        <w:tc>
          <w:tcPr>
            <w:tcW w:w="2685" w:type="dxa"/>
            <w:vAlign w:val="center"/>
          </w:tcPr>
          <w:p>
            <w:pPr>
              <w:spacing w:line="320" w:lineRule="exact"/>
              <w:rPr>
                <w:rFonts w:eastAsia="楷体_GB2312"/>
                <w:sz w:val="24"/>
              </w:rPr>
            </w:pPr>
          </w:p>
        </w:tc>
        <w:tc>
          <w:tcPr>
            <w:tcW w:w="2102" w:type="dxa"/>
            <w:vAlign w:val="center"/>
          </w:tcPr>
          <w:p>
            <w:pPr>
              <w:spacing w:line="320" w:lineRule="exact"/>
              <w:rPr>
                <w:rFonts w:eastAsia="楷体_GB2312"/>
                <w:sz w:val="24"/>
              </w:rPr>
            </w:pPr>
          </w:p>
        </w:tc>
        <w:tc>
          <w:tcPr>
            <w:tcW w:w="1434" w:type="dxa"/>
            <w:vAlign w:val="center"/>
          </w:tcPr>
          <w:p>
            <w:pPr>
              <w:spacing w:line="320" w:lineRule="exact"/>
              <w:rPr>
                <w:rFonts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75" w:hRule="atLeast"/>
        </w:trPr>
        <w:tc>
          <w:tcPr>
            <w:tcW w:w="750" w:type="dxa"/>
            <w:vAlign w:val="center"/>
          </w:tcPr>
          <w:p>
            <w:pPr>
              <w:spacing w:line="320" w:lineRule="exact"/>
              <w:rPr>
                <w:rFonts w:eastAsia="楷体_GB2312"/>
                <w:sz w:val="24"/>
              </w:rPr>
            </w:pPr>
            <w:r>
              <w:rPr>
                <w:rFonts w:eastAsia="楷体_GB2312"/>
                <w:sz w:val="24"/>
              </w:rPr>
              <w:t>2</w:t>
            </w:r>
          </w:p>
        </w:tc>
        <w:tc>
          <w:tcPr>
            <w:tcW w:w="9408" w:type="dxa"/>
            <w:gridSpan w:val="4"/>
            <w:vAlign w:val="center"/>
          </w:tcPr>
          <w:p>
            <w:pPr>
              <w:spacing w:line="320" w:lineRule="exact"/>
              <w:rPr>
                <w:rFonts w:eastAsia="楷体_GB2312"/>
                <w:b/>
                <w:bCs/>
                <w:color w:val="FF0000"/>
                <w:sz w:val="32"/>
                <w:szCs w:val="32"/>
              </w:rPr>
            </w:pPr>
          </w:p>
          <w:p>
            <w:pPr>
              <w:spacing w:line="320" w:lineRule="exact"/>
              <w:rPr>
                <w:rFonts w:eastAsia="楷体_GB2312"/>
                <w:b/>
                <w:bCs/>
                <w:color w:val="FF0000"/>
                <w:sz w:val="32"/>
                <w:szCs w:val="32"/>
              </w:rPr>
            </w:pPr>
          </w:p>
          <w:p>
            <w:pPr>
              <w:tabs>
                <w:tab w:val="left" w:pos="6075"/>
              </w:tabs>
              <w:spacing w:beforeLines="50" w:afterLines="50"/>
              <w:ind w:right="480"/>
              <w:jc w:val="left"/>
              <w:rPr>
                <w:rFonts w:eastAsia="楷体_GB2312"/>
                <w:b/>
                <w:bCs/>
                <w:color w:val="FF0000"/>
                <w:sz w:val="32"/>
                <w:szCs w:val="32"/>
              </w:rPr>
            </w:pPr>
            <w:r>
              <w:rPr>
                <w:rFonts w:eastAsia="楷体_GB2312"/>
                <w:b/>
                <w:bCs/>
                <w:color w:val="FF0000"/>
                <w:sz w:val="32"/>
                <w:szCs w:val="32"/>
              </w:rPr>
              <w:t>保证金付款凭证复印件粘贴上</w:t>
            </w:r>
          </w:p>
          <w:p>
            <w:pPr>
              <w:spacing w:line="320" w:lineRule="exact"/>
              <w:rPr>
                <w:rFonts w:eastAsia="楷体_GB2312"/>
                <w:b/>
                <w:bCs/>
                <w:color w:val="FF0000"/>
                <w:sz w:val="32"/>
                <w:szCs w:val="32"/>
              </w:rPr>
            </w:pPr>
          </w:p>
          <w:p>
            <w:pPr>
              <w:spacing w:line="320" w:lineRule="exact"/>
              <w:rPr>
                <w:rFonts w:eastAsia="楷体_GB2312"/>
                <w:b/>
                <w:bCs/>
                <w:color w:val="FF0000"/>
                <w:sz w:val="32"/>
                <w:szCs w:val="32"/>
              </w:rPr>
            </w:pPr>
          </w:p>
          <w:p>
            <w:pPr>
              <w:spacing w:line="320" w:lineRule="exact"/>
              <w:rPr>
                <w:rFonts w:eastAsia="楷体_GB2312"/>
                <w:b/>
                <w:bCs/>
                <w:color w:val="FF0000"/>
                <w:sz w:val="32"/>
                <w:szCs w:val="32"/>
              </w:rPr>
            </w:pPr>
          </w:p>
        </w:tc>
      </w:tr>
    </w:tbl>
    <w:p>
      <w:pPr>
        <w:spacing w:line="320" w:lineRule="exact"/>
        <w:ind w:firstLine="420" w:firstLineChars="175"/>
        <w:rPr>
          <w:rFonts w:eastAsia="楷体_GB2312"/>
          <w:sz w:val="24"/>
        </w:rPr>
      </w:pPr>
    </w:p>
    <w:p>
      <w:pPr>
        <w:adjustRightInd w:val="0"/>
        <w:snapToGrid w:val="0"/>
        <w:spacing w:before="50" w:line="360" w:lineRule="auto"/>
        <w:ind w:right="109" w:rightChars="52"/>
        <w:rPr>
          <w:szCs w:val="21"/>
        </w:rPr>
      </w:pPr>
      <w:r>
        <w:rPr>
          <w:szCs w:val="21"/>
        </w:rPr>
        <w:t>湖南工程学院采购与招标管理中心：              （盖章）2018年  月  日</w:t>
      </w:r>
    </w:p>
    <w:p>
      <w:pPr>
        <w:adjustRightInd w:val="0"/>
        <w:snapToGrid w:val="0"/>
        <w:spacing w:before="50" w:line="360" w:lineRule="auto"/>
        <w:ind w:left="2323" w:leftChars="1103" w:right="2850" w:rightChars="1357" w:hanging="7"/>
        <w:rPr>
          <w:szCs w:val="21"/>
        </w:rPr>
      </w:pPr>
      <w:r>
        <w:rPr>
          <w:szCs w:val="21"/>
        </w:rPr>
        <w:t xml:space="preserve">                                         </w:t>
      </w:r>
    </w:p>
    <w:p>
      <w:pPr>
        <w:adjustRightInd w:val="0"/>
        <w:snapToGrid w:val="0"/>
        <w:spacing w:before="50" w:line="360" w:lineRule="auto"/>
        <w:ind w:right="2850" w:rightChars="1357"/>
        <w:rPr>
          <w:szCs w:val="21"/>
        </w:rPr>
      </w:pPr>
      <w:r>
        <w:rPr>
          <w:szCs w:val="21"/>
        </w:rPr>
        <w:t>供应商(盖单位章)：</w:t>
      </w:r>
    </w:p>
    <w:p>
      <w:pPr>
        <w:adjustRightInd w:val="0"/>
        <w:snapToGrid w:val="0"/>
        <w:spacing w:before="50" w:line="360" w:lineRule="auto"/>
        <w:rPr>
          <w:szCs w:val="21"/>
        </w:rPr>
      </w:pPr>
      <w:r>
        <w:rPr>
          <w:szCs w:val="21"/>
        </w:rPr>
        <w:t>联系人：</w:t>
      </w:r>
      <w:r>
        <w:rPr>
          <w:szCs w:val="21"/>
          <w:u w:val="single"/>
        </w:rPr>
        <w:t xml:space="preserve">                 </w:t>
      </w:r>
      <w:r>
        <w:rPr>
          <w:szCs w:val="21"/>
        </w:rPr>
        <w:t xml:space="preserve"> </w:t>
      </w:r>
    </w:p>
    <w:p>
      <w:pPr>
        <w:adjustRightInd w:val="0"/>
        <w:snapToGrid w:val="0"/>
        <w:spacing w:before="50" w:line="360" w:lineRule="auto"/>
        <w:rPr>
          <w:szCs w:val="21"/>
        </w:rPr>
      </w:pPr>
      <w:r>
        <w:rPr>
          <w:szCs w:val="21"/>
        </w:rPr>
        <w:t>移动电话：</w:t>
      </w:r>
      <w:r>
        <w:rPr>
          <w:szCs w:val="21"/>
          <w:u w:val="single"/>
        </w:rPr>
        <w:t xml:space="preserve">                </w:t>
      </w:r>
      <w:r>
        <w:rPr>
          <w:szCs w:val="21"/>
        </w:rPr>
        <w:t xml:space="preserve">        </w:t>
      </w:r>
    </w:p>
    <w:p>
      <w:pPr>
        <w:pStyle w:val="22"/>
        <w:adjustRightInd w:val="0"/>
        <w:snapToGrid w:val="0"/>
        <w:spacing w:beforeLines="50" w:line="240" w:lineRule="exact"/>
        <w:rPr>
          <w:rFonts w:ascii="Times New Roman" w:hAnsi="Times New Roman"/>
          <w:szCs w:val="21"/>
        </w:rPr>
      </w:pPr>
      <w:r>
        <w:rPr>
          <w:rFonts w:ascii="Times New Roman" w:hAnsi="Times New Roman"/>
          <w:szCs w:val="21"/>
        </w:rPr>
        <w:t>说明：</w:t>
      </w:r>
    </w:p>
    <w:p>
      <w:pPr>
        <w:pStyle w:val="22"/>
        <w:numPr>
          <w:ilvl w:val="0"/>
          <w:numId w:val="65"/>
        </w:numPr>
        <w:adjustRightInd w:val="0"/>
        <w:snapToGrid w:val="0"/>
        <w:spacing w:beforeLines="50" w:line="240" w:lineRule="exact"/>
        <w:rPr>
          <w:rFonts w:ascii="Times New Roman" w:hAnsi="Times New Roman"/>
          <w:sz w:val="18"/>
          <w:szCs w:val="18"/>
        </w:rPr>
      </w:pPr>
      <w:r>
        <w:rPr>
          <w:rFonts w:ascii="Times New Roman" w:hAnsi="Times New Roman"/>
          <w:sz w:val="18"/>
          <w:szCs w:val="18"/>
        </w:rPr>
        <w:t>提供付款凭证复印件或金融机构、担保机构出具的保函原件。</w:t>
      </w:r>
    </w:p>
    <w:p>
      <w:pPr>
        <w:pStyle w:val="22"/>
        <w:numPr>
          <w:ilvl w:val="0"/>
          <w:numId w:val="65"/>
        </w:numPr>
        <w:adjustRightInd w:val="0"/>
        <w:snapToGrid w:val="0"/>
        <w:spacing w:beforeLines="50" w:line="240" w:lineRule="exact"/>
        <w:rPr>
          <w:rFonts w:ascii="Times New Roman" w:hAnsi="Times New Roman"/>
          <w:sz w:val="18"/>
          <w:szCs w:val="18"/>
        </w:rPr>
      </w:pPr>
      <w:r>
        <w:rPr>
          <w:rFonts w:ascii="Times New Roman" w:hAnsi="Times New Roman"/>
          <w:sz w:val="18"/>
          <w:szCs w:val="18"/>
        </w:rPr>
        <w:t>根据供应商递交的《投标保证金退款通知单》上的账户信息，以转账或电汇方式退还至供应商的原缴纳账户。</w:t>
      </w:r>
    </w:p>
    <w:p>
      <w:pPr>
        <w:pStyle w:val="22"/>
        <w:numPr>
          <w:ilvl w:val="0"/>
          <w:numId w:val="65"/>
        </w:numPr>
        <w:adjustRightInd w:val="0"/>
        <w:snapToGrid w:val="0"/>
        <w:spacing w:beforeLines="50" w:line="240" w:lineRule="exact"/>
        <w:rPr>
          <w:rFonts w:ascii="Times New Roman" w:hAnsi="Times New Roman"/>
          <w:sz w:val="18"/>
          <w:szCs w:val="18"/>
        </w:rPr>
      </w:pPr>
      <w:r>
        <w:rPr>
          <w:rFonts w:ascii="Times New Roman" w:hAnsi="Times New Roman"/>
          <w:sz w:val="18"/>
          <w:szCs w:val="18"/>
        </w:rPr>
        <w:t>投标保证金在递交响应文件文件截止之日前汇入湖南工程学院财务处，中标者合同验收后退还，未中标者</w:t>
      </w:r>
      <w:r>
        <w:rPr>
          <w:rFonts w:hint="eastAsia" w:ascii="Times New Roman" w:hAnsi="Times New Roman"/>
          <w:sz w:val="18"/>
          <w:szCs w:val="18"/>
        </w:rPr>
        <w:t>1</w:t>
      </w:r>
      <w:r>
        <w:rPr>
          <w:rFonts w:ascii="Times New Roman" w:hAnsi="Times New Roman"/>
          <w:sz w:val="18"/>
          <w:szCs w:val="18"/>
        </w:rPr>
        <w:t>0个工作日原数退还（学校关账期间不算工作日时间）。</w:t>
      </w:r>
    </w:p>
    <w:p>
      <w:pPr>
        <w:pStyle w:val="22"/>
        <w:numPr>
          <w:ilvl w:val="0"/>
          <w:numId w:val="65"/>
        </w:numPr>
        <w:adjustRightInd w:val="0"/>
        <w:snapToGrid w:val="0"/>
        <w:spacing w:beforeLines="50" w:line="240" w:lineRule="exact"/>
        <w:rPr>
          <w:rFonts w:ascii="Times New Roman" w:hAnsi="Times New Roman"/>
          <w:sz w:val="18"/>
          <w:szCs w:val="18"/>
        </w:rPr>
      </w:pPr>
      <w:r>
        <w:rPr>
          <w:rFonts w:ascii="Times New Roman" w:hAnsi="Times New Roman"/>
          <w:sz w:val="18"/>
          <w:szCs w:val="18"/>
        </w:rPr>
        <w:t>银行户名：湖南工程学院，账号：1904031109026409320，</w:t>
      </w:r>
    </w:p>
    <w:p>
      <w:pPr>
        <w:pStyle w:val="22"/>
        <w:numPr>
          <w:ilvl w:val="0"/>
          <w:numId w:val="65"/>
        </w:numPr>
        <w:adjustRightInd w:val="0"/>
        <w:snapToGrid w:val="0"/>
        <w:spacing w:beforeLines="50" w:line="240" w:lineRule="exact"/>
        <w:rPr>
          <w:rFonts w:ascii="Times New Roman" w:hAnsi="Times New Roman"/>
          <w:sz w:val="18"/>
          <w:szCs w:val="18"/>
        </w:rPr>
      </w:pPr>
      <w:r>
        <w:rPr>
          <w:rFonts w:ascii="Times New Roman" w:hAnsi="Times New Roman"/>
          <w:sz w:val="18"/>
          <w:szCs w:val="18"/>
        </w:rPr>
        <w:t>开户行：工商银行湘潭岳塘支行，请在附言栏注明款项内容及单位或个人</w:t>
      </w:r>
    </w:p>
    <w:p>
      <w:pPr>
        <w:spacing w:line="360" w:lineRule="exact"/>
        <w:rPr>
          <w:sz w:val="24"/>
        </w:rPr>
      </w:pPr>
    </w:p>
    <w:p>
      <w:pPr>
        <w:ind w:firstLine="420" w:firstLineChars="200"/>
        <w:rPr>
          <w:rFonts w:ascii="宋体" w:hAnsi="宋体" w:cs="仿宋"/>
        </w:rPr>
      </w:pPr>
    </w:p>
    <w:sectPr>
      <w:pgSz w:w="11907" w:h="16840"/>
      <w:pgMar w:top="907" w:right="1588" w:bottom="1219" w:left="1588" w:header="567" w:footer="454"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ADBC7CA-3954-43E2-99A7-ADA92CC0D05C}"/>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096EBFAF-E969-414C-94A5-C48A34414E06}"/>
  </w:font>
  <w:font w:name="Arial">
    <w:panose1 w:val="020B0604020202020204"/>
    <w:charset w:val="00"/>
    <w:family w:val="swiss"/>
    <w:pitch w:val="default"/>
    <w:sig w:usb0="E0002AFF" w:usb1="C0007843" w:usb2="00000009" w:usb3="00000000" w:csb0="400001FF" w:csb1="FFFF0000"/>
    <w:embedRegular r:id="rId3" w:fontKey="{A71FB8CE-F2D1-4723-BF69-04C19BF395EB}"/>
  </w:font>
  <w:font w:name="仿宋_GB2312">
    <w:altName w:val="仿宋"/>
    <w:panose1 w:val="00000000000000000000"/>
    <w:charset w:val="86"/>
    <w:family w:val="modern"/>
    <w:pitch w:val="default"/>
    <w:sig w:usb0="00000000" w:usb1="00000000" w:usb2="00000010" w:usb3="00000000" w:csb0="00040000" w:csb1="00000000"/>
    <w:embedRegular r:id="rId4" w:fontKey="{5C62F859-D810-42C1-98B9-9816BACDBA37}"/>
  </w:font>
  <w:font w:name="Courier New">
    <w:panose1 w:val="02070309020205020404"/>
    <w:charset w:val="00"/>
    <w:family w:val="modern"/>
    <w:pitch w:val="default"/>
    <w:sig w:usb0="E0002AFF" w:usb1="C0007843" w:usb2="00000009" w:usb3="00000000" w:csb0="400001FF" w:csb1="FFFF0000"/>
  </w:font>
  <w:font w:name="Arial Unicode MS">
    <w:altName w:val="宋体"/>
    <w:panose1 w:val="020B0604020202020204"/>
    <w:charset w:val="86"/>
    <w:family w:val="swiss"/>
    <w:pitch w:val="default"/>
    <w:sig w:usb0="00000000" w:usb1="00000000" w:usb2="0000003F" w:usb3="00000000" w:csb0="003F01FF" w:csb1="00000000"/>
  </w:font>
  <w:font w:name="HelveticaCondensed">
    <w:altName w:val="Arial"/>
    <w:panose1 w:val="00000000000000000000"/>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华文楷体">
    <w:altName w:val="宋体"/>
    <w:panose1 w:val="02010600040101010101"/>
    <w:charset w:val="86"/>
    <w:family w:val="auto"/>
    <w:pitch w:val="default"/>
    <w:sig w:usb0="00000000" w:usb1="00000000" w:usb2="00000010" w:usb3="00000000" w:csb0="0004009F" w:csb1="00000000"/>
  </w:font>
  <w:font w:name="font-weight : 400">
    <w:altName w:val="Times New Roman"/>
    <w:panose1 w:val="00000000000000000000"/>
    <w:charset w:val="00"/>
    <w:family w:val="auto"/>
    <w:pitch w:val="default"/>
    <w:sig w:usb0="00000000" w:usb1="00000000" w:usb2="00000000" w:usb3="00000000" w:csb0="00000001" w:csb1="00000000"/>
  </w:font>
  <w:font w:name="新宋体">
    <w:panose1 w:val="02010609030101010101"/>
    <w:charset w:val="86"/>
    <w:family w:val="modern"/>
    <w:pitch w:val="default"/>
    <w:sig w:usb0="00000003" w:usb1="288F0000" w:usb2="00000006" w:usb3="00000000" w:csb0="00040001" w:csb1="00000000"/>
    <w:embedRegular r:id="rId5" w:fontKey="{88463E3C-5742-4861-824F-8463AF800D51}"/>
  </w:font>
  <w:font w:name="仿宋">
    <w:panose1 w:val="02010609060101010101"/>
    <w:charset w:val="86"/>
    <w:family w:val="modern"/>
    <w:pitch w:val="default"/>
    <w:sig w:usb0="800002BF" w:usb1="38CF7CFA" w:usb2="00000016" w:usb3="00000000" w:csb0="00040001" w:csb1="00000000"/>
    <w:embedRegular r:id="rId6" w:fontKey="{460DD4CB-1BE2-49D7-8741-2EA39AA0BD2B}"/>
  </w:font>
  <w:font w:name="腾祥潮黑简">
    <w:panose1 w:val="01010104010101010101"/>
    <w:charset w:val="86"/>
    <w:family w:val="auto"/>
    <w:pitch w:val="default"/>
    <w:sig w:usb0="800002BF" w:usb1="18CF6CFA" w:usb2="00000012" w:usb3="00000000" w:csb0="00040001" w:csb1="00000000"/>
    <w:embedRegular r:id="rId7" w:fontKey="{CB0FE5F2-6B9C-44C5-86E1-64CD93F83E41}"/>
  </w:font>
  <w:font w:name="楷体_GB2312">
    <w:altName w:val="楷体"/>
    <w:panose1 w:val="00000000000000000000"/>
    <w:charset w:val="86"/>
    <w:family w:val="modern"/>
    <w:pitch w:val="default"/>
    <w:sig w:usb0="00000000" w:usb1="00000000" w:usb2="00000010" w:usb3="00000000" w:csb0="00040000" w:csb1="00000000"/>
    <w:embedRegular r:id="rId8" w:fontKey="{24E1BC5E-8B54-42A9-80C9-1328CBBAA5A4}"/>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rPr>
        <w:rFonts w:ascii="仿宋_GB2312" w:eastAsia="仿宋_GB2312"/>
        <w:bCs/>
        <w:u w:val="single"/>
      </w:rPr>
    </w:pPr>
    <w:r>
      <w:rPr>
        <w:rFonts w:hint="eastAsia" w:ascii="仿宋_GB2312" w:eastAsia="仿宋_GB2312"/>
        <w:bCs/>
        <w:u w:val="single"/>
      </w:rPr>
      <w:t xml:space="preserve">                                                                                                  </w:t>
    </w:r>
  </w:p>
  <w:p>
    <w:pPr>
      <w:adjustRightInd w:val="0"/>
      <w:snapToGrid w:val="0"/>
      <w:spacing w:line="260" w:lineRule="atLeast"/>
      <w:ind w:left="482" w:hanging="482"/>
      <w:rPr>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260" w:lineRule="atLeast"/>
      <w:ind w:left="482" w:hanging="482"/>
      <w:rPr>
        <w:kern w:val="0"/>
        <w:sz w:val="18"/>
        <w:szCs w:val="21"/>
      </w:rPr>
    </w:pPr>
    <w:r>
      <w:rPr>
        <w:rFonts w:hint="eastAsia"/>
        <w:kern w:val="0"/>
        <w:sz w:val="18"/>
        <w:szCs w:val="21"/>
      </w:rPr>
      <w:t xml:space="preserve">湖南科技大学国有资产管理处                                 电话：0731-58290746            </w:t>
    </w:r>
    <w:r>
      <w:rPr>
        <w:rFonts w:hint="eastAsia"/>
        <w:kern w:val="0"/>
        <w:sz w:val="18"/>
        <w:szCs w:val="18"/>
      </w:rPr>
      <w:t xml:space="preserve">第 </w:t>
    </w:r>
    <w:r>
      <w:rPr>
        <w:b/>
        <w:kern w:val="0"/>
        <w:sz w:val="18"/>
        <w:szCs w:val="18"/>
      </w:rPr>
      <w:fldChar w:fldCharType="begin"/>
    </w:r>
    <w:r>
      <w:rPr>
        <w:b/>
        <w:kern w:val="0"/>
        <w:sz w:val="18"/>
        <w:szCs w:val="18"/>
      </w:rPr>
      <w:instrText xml:space="preserve"> PAGE </w:instrText>
    </w:r>
    <w:r>
      <w:rPr>
        <w:b/>
        <w:kern w:val="0"/>
        <w:sz w:val="18"/>
        <w:szCs w:val="18"/>
      </w:rPr>
      <w:fldChar w:fldCharType="separate"/>
    </w:r>
    <w:r>
      <w:rPr>
        <w:b/>
        <w:kern w:val="0"/>
        <w:sz w:val="18"/>
        <w:szCs w:val="18"/>
      </w:rPr>
      <w:t>1</w:t>
    </w:r>
    <w:r>
      <w:rPr>
        <w:b/>
        <w:kern w:val="0"/>
        <w:sz w:val="18"/>
        <w:szCs w:val="18"/>
      </w:rPr>
      <w:fldChar w:fldCharType="end"/>
    </w:r>
    <w:r>
      <w:rPr>
        <w:rFonts w:hint="eastAsia"/>
        <w:kern w:val="0"/>
        <w:sz w:val="18"/>
        <w:szCs w:val="18"/>
      </w:rPr>
      <w:t xml:space="preserve"> 页</w:t>
    </w:r>
  </w:p>
  <w:p>
    <w:pPr>
      <w:adjustRightInd w:val="0"/>
      <w:snapToGrid w:val="0"/>
      <w:spacing w:line="260" w:lineRule="atLeast"/>
      <w:ind w:left="482" w:hanging="482"/>
    </w:pPr>
    <w:r>
      <w:rPr>
        <w:rFonts w:hint="eastAsia"/>
        <w:kern w:val="0"/>
        <w:sz w:val="18"/>
        <w:szCs w:val="21"/>
      </w:rPr>
      <w:t xml:space="preserve">地址：湘潭市雨湖区桃园路                           </w:t>
    </w:r>
    <w:r>
      <w:rPr>
        <w:rFonts w:hint="eastAsia"/>
        <w:kern w:val="0"/>
      </w:rPr>
      <w:t xml:space="preserve">       </w:t>
    </w:r>
    <w:r>
      <w:rPr>
        <w:rFonts w:hint="eastAsia"/>
        <w:kern w:val="0"/>
        <w:sz w:val="18"/>
        <w:szCs w:val="21"/>
      </w:rPr>
      <w:t>传真：0731-58290210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rPr>
        <w:rFonts w:ascii="仿宋_GB2312" w:eastAsia="仿宋_GB2312"/>
        <w:bCs/>
        <w:u w:val="single"/>
      </w:rPr>
    </w:pPr>
    <w:r>
      <w:rPr>
        <w:rFonts w:hint="eastAsia" w:ascii="仿宋_GB2312" w:eastAsia="仿宋_GB2312"/>
        <w:bCs/>
        <w:u w:val="single"/>
      </w:rPr>
      <w:t xml:space="preserve">                                                                                                  </w:t>
    </w:r>
  </w:p>
  <w:p>
    <w:pPr>
      <w:adjustRightInd w:val="0"/>
      <w:snapToGrid w:val="0"/>
      <w:spacing w:line="260" w:lineRule="atLeast"/>
      <w:ind w:left="482" w:hanging="482"/>
      <w:rPr>
        <w:kern w:val="0"/>
        <w:sz w:val="18"/>
        <w:szCs w:val="21"/>
      </w:rPr>
    </w:pPr>
    <w:r>
      <w:rPr>
        <w:sz w:val="18"/>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1828800" cy="1828800"/>
              <wp:effectExtent l="0" t="0" r="0" b="0"/>
              <wp:wrapNone/>
              <wp:docPr id="2"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adjustRightInd w:val="0"/>
                            <w:snapToGrid w:val="0"/>
                            <w:spacing w:line="260" w:lineRule="atLeast"/>
                            <w:ind w:left="482" w:hanging="482"/>
                          </w:pPr>
                          <w:r>
                            <w:rPr>
                              <w:rFonts w:hint="eastAsia"/>
                              <w:kern w:val="0"/>
                              <w:sz w:val="18"/>
                              <w:szCs w:val="21"/>
                            </w:rPr>
                            <w:t>湖南工程学院采购与招标管理中心                              电话</w:t>
                          </w:r>
                          <w:r>
                            <w:rPr>
                              <w:rFonts w:hint="eastAsia"/>
                              <w:kern w:val="0"/>
                              <w:szCs w:val="21"/>
                            </w:rPr>
                            <w:t>：</w:t>
                          </w:r>
                          <w:r>
                            <w:rPr>
                              <w:rFonts w:hint="eastAsia"/>
                              <w:kern w:val="0"/>
                              <w:sz w:val="18"/>
                              <w:szCs w:val="21"/>
                            </w:rPr>
                            <w:t xml:space="preserve">0731-58683362          </w:t>
                          </w:r>
                          <w:r>
                            <w:rPr>
                              <w:rFonts w:hint="eastAsia"/>
                              <w:kern w:val="0"/>
                              <w:sz w:val="18"/>
                              <w:szCs w:val="18"/>
                            </w:rPr>
                            <w:t xml:space="preserve">第 </w:t>
                          </w:r>
                          <w:r>
                            <w:rPr>
                              <w:b/>
                              <w:kern w:val="0"/>
                              <w:sz w:val="18"/>
                              <w:szCs w:val="18"/>
                            </w:rPr>
                            <w:fldChar w:fldCharType="begin"/>
                          </w:r>
                          <w:r>
                            <w:rPr>
                              <w:b/>
                              <w:kern w:val="0"/>
                              <w:sz w:val="18"/>
                              <w:szCs w:val="18"/>
                            </w:rPr>
                            <w:instrText xml:space="preserve"> PAGE </w:instrText>
                          </w:r>
                          <w:r>
                            <w:rPr>
                              <w:b/>
                              <w:kern w:val="0"/>
                              <w:sz w:val="18"/>
                              <w:szCs w:val="18"/>
                            </w:rPr>
                            <w:fldChar w:fldCharType="separate"/>
                          </w:r>
                          <w:r>
                            <w:rPr>
                              <w:b/>
                              <w:kern w:val="0"/>
                              <w:sz w:val="18"/>
                              <w:szCs w:val="18"/>
                            </w:rPr>
                            <w:t>18</w:t>
                          </w:r>
                          <w:r>
                            <w:rPr>
                              <w:b/>
                              <w:kern w:val="0"/>
                              <w:sz w:val="18"/>
                              <w:szCs w:val="18"/>
                            </w:rPr>
                            <w:fldChar w:fldCharType="end"/>
                          </w:r>
                          <w:r>
                            <w:rPr>
                              <w:rFonts w:hint="eastAsia"/>
                              <w:kern w:val="0"/>
                              <w:sz w:val="18"/>
                              <w:szCs w:val="18"/>
                            </w:rPr>
                            <w:t xml:space="preserve"> 页</w:t>
                          </w:r>
                        </w:p>
                      </w:txbxContent>
                    </wps:txbx>
                    <wps:bodyPr wrap="none" lIns="0" tIns="0" rIns="0" bIns="0" upright="0">
                      <a:spAutoFit/>
                    </wps:bodyPr>
                  </wps:wsp>
                </a:graphicData>
              </a:graphic>
            </wp:anchor>
          </w:drawing>
        </mc:Choice>
        <mc:Fallback>
          <w:pict>
            <v:shape id="文本框 17" o:spid="_x0000_s1026" o:spt="202" type="#_x0000_t202" style="position:absolute;left:0pt;margin-top:0pt;height:144pt;width:144pt;mso-position-horizontal:lef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OqXm5zwAAAAUBAAAPAAAAAAAAAAEAIAAAACIAAABkcnMvZG93bnJldi54bWxQSwECFAAUAAAA&#10;CACHTuJA4b8iZr4BAABjAwAADgAAAAAAAAABACAAAAAeAQAAZHJzL2Uyb0RvYy54bWxQSwUGAAAA&#10;AAYABgBZAQAATgUAAAAA&#10;">
              <v:fill on="f" focussize="0,0"/>
              <v:stroke on="f"/>
              <v:imagedata o:title=""/>
              <o:lock v:ext="edit" aspectratio="f"/>
              <v:textbox inset="0mm,0mm,0mm,0mm" style="mso-fit-shape-to-text:t;">
                <w:txbxContent>
                  <w:p>
                    <w:pPr>
                      <w:adjustRightInd w:val="0"/>
                      <w:snapToGrid w:val="0"/>
                      <w:spacing w:line="260" w:lineRule="atLeast"/>
                      <w:ind w:left="482" w:hanging="482"/>
                    </w:pPr>
                    <w:r>
                      <w:rPr>
                        <w:rFonts w:hint="eastAsia"/>
                        <w:kern w:val="0"/>
                        <w:sz w:val="18"/>
                        <w:szCs w:val="21"/>
                      </w:rPr>
                      <w:t>湖南工程学院采购与招标管理中心                              电话</w:t>
                    </w:r>
                    <w:r>
                      <w:rPr>
                        <w:rFonts w:hint="eastAsia"/>
                        <w:kern w:val="0"/>
                        <w:szCs w:val="21"/>
                      </w:rPr>
                      <w:t>：</w:t>
                    </w:r>
                    <w:r>
                      <w:rPr>
                        <w:rFonts w:hint="eastAsia"/>
                        <w:kern w:val="0"/>
                        <w:sz w:val="18"/>
                        <w:szCs w:val="21"/>
                      </w:rPr>
                      <w:t xml:space="preserve">0731-58683362          </w:t>
                    </w:r>
                    <w:r>
                      <w:rPr>
                        <w:rFonts w:hint="eastAsia"/>
                        <w:kern w:val="0"/>
                        <w:sz w:val="18"/>
                        <w:szCs w:val="18"/>
                      </w:rPr>
                      <w:t xml:space="preserve">第 </w:t>
                    </w:r>
                    <w:r>
                      <w:rPr>
                        <w:b/>
                        <w:kern w:val="0"/>
                        <w:sz w:val="18"/>
                        <w:szCs w:val="18"/>
                      </w:rPr>
                      <w:fldChar w:fldCharType="begin"/>
                    </w:r>
                    <w:r>
                      <w:rPr>
                        <w:b/>
                        <w:kern w:val="0"/>
                        <w:sz w:val="18"/>
                        <w:szCs w:val="18"/>
                      </w:rPr>
                      <w:instrText xml:space="preserve"> PAGE </w:instrText>
                    </w:r>
                    <w:r>
                      <w:rPr>
                        <w:b/>
                        <w:kern w:val="0"/>
                        <w:sz w:val="18"/>
                        <w:szCs w:val="18"/>
                      </w:rPr>
                      <w:fldChar w:fldCharType="separate"/>
                    </w:r>
                    <w:r>
                      <w:rPr>
                        <w:b/>
                        <w:kern w:val="0"/>
                        <w:sz w:val="18"/>
                        <w:szCs w:val="18"/>
                      </w:rPr>
                      <w:t>18</w:t>
                    </w:r>
                    <w:r>
                      <w:rPr>
                        <w:b/>
                        <w:kern w:val="0"/>
                        <w:sz w:val="18"/>
                        <w:szCs w:val="18"/>
                      </w:rPr>
                      <w:fldChar w:fldCharType="end"/>
                    </w:r>
                    <w:r>
                      <w:rPr>
                        <w:rFonts w:hint="eastAsia"/>
                        <w:kern w:val="0"/>
                        <w:sz w:val="18"/>
                        <w:szCs w:val="18"/>
                      </w:rPr>
                      <w:t xml:space="preserve"> 页</w:t>
                    </w:r>
                  </w:p>
                </w:txbxContent>
              </v:textbox>
            </v:shape>
          </w:pict>
        </mc:Fallback>
      </mc:AlternateContent>
    </w:r>
  </w:p>
  <w:p>
    <w:pPr>
      <w:pStyle w:val="27"/>
      <w:rPr>
        <w:kern w:val="0"/>
        <w:szCs w:val="21"/>
      </w:rPr>
    </w:pPr>
    <w:r>
      <w:rPr>
        <w:rFonts w:hint="eastAsia"/>
        <w:kern w:val="0"/>
        <w:szCs w:val="21"/>
      </w:rPr>
      <w:t>地址：湘潭市岳塘区福星中路88号                             传真：0731-58683568</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rPr>
        <w:rFonts w:ascii="仿宋_GB2312" w:eastAsia="仿宋_GB2312"/>
        <w:bCs/>
        <w:u w:val="single"/>
      </w:rPr>
    </w:pPr>
    <w:r>
      <mc:AlternateContent>
        <mc:Choice Requires="wps">
          <w:drawing>
            <wp:anchor distT="0" distB="0" distL="114300" distR="114300" simplePos="0" relativeHeight="251658240" behindDoc="0" locked="0" layoutInCell="1" allowOverlap="1">
              <wp:simplePos x="0" y="0"/>
              <wp:positionH relativeFrom="margin">
                <wp:posOffset>0</wp:posOffset>
              </wp:positionH>
              <wp:positionV relativeFrom="paragraph">
                <wp:posOffset>147955</wp:posOffset>
              </wp:positionV>
              <wp:extent cx="5522595" cy="182245"/>
              <wp:effectExtent l="0" t="0" r="0" b="0"/>
              <wp:wrapNone/>
              <wp:docPr id="1" name="文本框 16"/>
              <wp:cNvGraphicFramePr/>
              <a:graphic xmlns:a="http://schemas.openxmlformats.org/drawingml/2006/main">
                <a:graphicData uri="http://schemas.microsoft.com/office/word/2010/wordprocessingShape">
                  <wps:wsp>
                    <wps:cNvSpPr txBox="1"/>
                    <wps:spPr>
                      <a:xfrm>
                        <a:off x="0" y="0"/>
                        <a:ext cx="5522595" cy="182245"/>
                      </a:xfrm>
                      <a:prstGeom prst="rect">
                        <a:avLst/>
                      </a:prstGeom>
                      <a:noFill/>
                      <a:ln w="9525">
                        <a:noFill/>
                      </a:ln>
                      <a:effectLst/>
                    </wps:spPr>
                    <wps:txbx>
                      <w:txbxContent>
                        <w:p>
                          <w:pPr>
                            <w:adjustRightInd w:val="0"/>
                            <w:snapToGrid w:val="0"/>
                            <w:spacing w:line="260" w:lineRule="atLeast"/>
                            <w:ind w:left="482" w:hanging="482"/>
                            <w:jc w:val="left"/>
                          </w:pPr>
                          <w:r>
                            <w:rPr>
                              <w:rFonts w:hint="eastAsia"/>
                              <w:kern w:val="0"/>
                              <w:sz w:val="18"/>
                              <w:szCs w:val="21"/>
                            </w:rPr>
                            <w:t>湖南工程学院采购与招标管理中心                          电话</w:t>
                          </w:r>
                          <w:r>
                            <w:rPr>
                              <w:rFonts w:hint="eastAsia"/>
                              <w:kern w:val="0"/>
                              <w:szCs w:val="21"/>
                            </w:rPr>
                            <w:t>：</w:t>
                          </w:r>
                          <w:r>
                            <w:rPr>
                              <w:rFonts w:hint="eastAsia"/>
                              <w:kern w:val="0"/>
                              <w:sz w:val="18"/>
                              <w:szCs w:val="21"/>
                            </w:rPr>
                            <w:t xml:space="preserve">0731-58683916           </w:t>
                          </w:r>
                          <w:r>
                            <w:rPr>
                              <w:rFonts w:hint="eastAsia"/>
                              <w:kern w:val="0"/>
                              <w:sz w:val="18"/>
                              <w:szCs w:val="18"/>
                            </w:rPr>
                            <w:t xml:space="preserve">第 </w:t>
                          </w:r>
                          <w:r>
                            <w:rPr>
                              <w:b/>
                              <w:kern w:val="0"/>
                              <w:sz w:val="18"/>
                              <w:szCs w:val="18"/>
                            </w:rPr>
                            <w:fldChar w:fldCharType="begin"/>
                          </w:r>
                          <w:r>
                            <w:rPr>
                              <w:b/>
                              <w:kern w:val="0"/>
                              <w:sz w:val="18"/>
                              <w:szCs w:val="18"/>
                            </w:rPr>
                            <w:instrText xml:space="preserve"> PAGE </w:instrText>
                          </w:r>
                          <w:r>
                            <w:rPr>
                              <w:b/>
                              <w:kern w:val="0"/>
                              <w:sz w:val="18"/>
                              <w:szCs w:val="18"/>
                            </w:rPr>
                            <w:fldChar w:fldCharType="separate"/>
                          </w:r>
                          <w:r>
                            <w:rPr>
                              <w:b/>
                              <w:kern w:val="0"/>
                              <w:sz w:val="18"/>
                              <w:szCs w:val="18"/>
                            </w:rPr>
                            <w:t>25</w:t>
                          </w:r>
                          <w:r>
                            <w:rPr>
                              <w:b/>
                              <w:kern w:val="0"/>
                              <w:sz w:val="18"/>
                              <w:szCs w:val="18"/>
                            </w:rPr>
                            <w:fldChar w:fldCharType="end"/>
                          </w:r>
                          <w:r>
                            <w:rPr>
                              <w:rFonts w:hint="eastAsia"/>
                              <w:kern w:val="0"/>
                              <w:sz w:val="18"/>
                              <w:szCs w:val="18"/>
                            </w:rPr>
                            <w:t xml:space="preserve"> 页</w:t>
                          </w:r>
                        </w:p>
                      </w:txbxContent>
                    </wps:txbx>
                    <wps:bodyPr wrap="square" lIns="0" tIns="0" rIns="0" bIns="0" upright="0">
                      <a:noAutofit/>
                    </wps:bodyPr>
                  </wps:wsp>
                </a:graphicData>
              </a:graphic>
            </wp:anchor>
          </w:drawing>
        </mc:Choice>
        <mc:Fallback>
          <w:pict>
            <v:shape id="文本框 16" o:spid="_x0000_s1026" o:spt="202" type="#_x0000_t202" style="position:absolute;left:0pt;margin-left:0pt;margin-top:11.65pt;height:14.35pt;width:434.85pt;mso-position-horizontal-relative:margin;z-index:251658240;mso-width-relative:page;mso-height-relative:page;" filled="f" stroked="f" coordsize="21600,21600" o:gfxdata="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E9mqVtYAAAAGAQAADwAAAAAAAAABACAAAAAiAAAAZHJzL2Rvd25yZXYu&#10;eG1sUEsBAhQAFAAAAAgAh07iQM5u2pjEAQAAZAMAAA4AAAAAAAAAAQAgAAAAJQEAAGRycy9lMm9E&#10;b2MueG1sUEsFBgAAAAAGAAYAWQEAAFsFAAAAAA==&#10;">
              <v:fill on="f" focussize="0,0"/>
              <v:stroke on="f"/>
              <v:imagedata o:title=""/>
              <o:lock v:ext="edit" aspectratio="f"/>
              <v:textbox inset="0mm,0mm,0mm,0mm">
                <w:txbxContent>
                  <w:p>
                    <w:pPr>
                      <w:adjustRightInd w:val="0"/>
                      <w:snapToGrid w:val="0"/>
                      <w:spacing w:line="260" w:lineRule="atLeast"/>
                      <w:ind w:left="482" w:hanging="482"/>
                      <w:jc w:val="left"/>
                    </w:pPr>
                    <w:r>
                      <w:rPr>
                        <w:rFonts w:hint="eastAsia"/>
                        <w:kern w:val="0"/>
                        <w:sz w:val="18"/>
                        <w:szCs w:val="21"/>
                      </w:rPr>
                      <w:t>湖南工程学院采购与招标管理中心                          电话</w:t>
                    </w:r>
                    <w:r>
                      <w:rPr>
                        <w:rFonts w:hint="eastAsia"/>
                        <w:kern w:val="0"/>
                        <w:szCs w:val="21"/>
                      </w:rPr>
                      <w:t>：</w:t>
                    </w:r>
                    <w:r>
                      <w:rPr>
                        <w:rFonts w:hint="eastAsia"/>
                        <w:kern w:val="0"/>
                        <w:sz w:val="18"/>
                        <w:szCs w:val="21"/>
                      </w:rPr>
                      <w:t xml:space="preserve">0731-58683916           </w:t>
                    </w:r>
                    <w:r>
                      <w:rPr>
                        <w:rFonts w:hint="eastAsia"/>
                        <w:kern w:val="0"/>
                        <w:sz w:val="18"/>
                        <w:szCs w:val="18"/>
                      </w:rPr>
                      <w:t xml:space="preserve">第 </w:t>
                    </w:r>
                    <w:r>
                      <w:rPr>
                        <w:b/>
                        <w:kern w:val="0"/>
                        <w:sz w:val="18"/>
                        <w:szCs w:val="18"/>
                      </w:rPr>
                      <w:fldChar w:fldCharType="begin"/>
                    </w:r>
                    <w:r>
                      <w:rPr>
                        <w:b/>
                        <w:kern w:val="0"/>
                        <w:sz w:val="18"/>
                        <w:szCs w:val="18"/>
                      </w:rPr>
                      <w:instrText xml:space="preserve"> PAGE </w:instrText>
                    </w:r>
                    <w:r>
                      <w:rPr>
                        <w:b/>
                        <w:kern w:val="0"/>
                        <w:sz w:val="18"/>
                        <w:szCs w:val="18"/>
                      </w:rPr>
                      <w:fldChar w:fldCharType="separate"/>
                    </w:r>
                    <w:r>
                      <w:rPr>
                        <w:b/>
                        <w:kern w:val="0"/>
                        <w:sz w:val="18"/>
                        <w:szCs w:val="18"/>
                      </w:rPr>
                      <w:t>25</w:t>
                    </w:r>
                    <w:r>
                      <w:rPr>
                        <w:b/>
                        <w:kern w:val="0"/>
                        <w:sz w:val="18"/>
                        <w:szCs w:val="18"/>
                      </w:rPr>
                      <w:fldChar w:fldCharType="end"/>
                    </w:r>
                    <w:r>
                      <w:rPr>
                        <w:rFonts w:hint="eastAsia"/>
                        <w:kern w:val="0"/>
                        <w:sz w:val="18"/>
                        <w:szCs w:val="18"/>
                      </w:rPr>
                      <w:t xml:space="preserve"> 页</w:t>
                    </w:r>
                  </w:p>
                </w:txbxContent>
              </v:textbox>
            </v:shape>
          </w:pict>
        </mc:Fallback>
      </mc:AlternateContent>
    </w:r>
    <w:r>
      <w:rPr>
        <w:rFonts w:hint="eastAsia" w:ascii="仿宋_GB2312" w:eastAsia="仿宋_GB2312"/>
        <w:bCs/>
        <w:u w:val="single"/>
      </w:rPr>
      <w:t xml:space="preserve">                                                                                                                                                                    </w:t>
    </w:r>
  </w:p>
  <w:p>
    <w:pPr>
      <w:adjustRightInd w:val="0"/>
      <w:snapToGrid w:val="0"/>
      <w:spacing w:line="260" w:lineRule="atLeast"/>
      <w:ind w:left="482" w:hanging="482"/>
      <w:jc w:val="left"/>
      <w:rPr>
        <w:kern w:val="0"/>
        <w:sz w:val="18"/>
        <w:szCs w:val="21"/>
      </w:rPr>
    </w:pPr>
  </w:p>
  <w:p>
    <w:pPr>
      <w:pStyle w:val="27"/>
      <w:rPr>
        <w:kern w:val="0"/>
        <w:szCs w:val="21"/>
      </w:rPr>
    </w:pPr>
    <w:r>
      <w:rPr>
        <w:rFonts w:hint="eastAsia"/>
        <w:kern w:val="0"/>
      </w:rPr>
      <w:t>地址：湘潭市岳塘区福星中路88号                         传真：0731-58683568</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both"/>
    </w:pPr>
    <w:r>
      <w:rPr>
        <w:rFonts w:hint="eastAsia" w:ascii="宋体" w:hAnsi="宋体"/>
      </w:rPr>
      <w:t>实验室废弃物暂存柜设备采购项目</w:t>
    </w: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both"/>
    </w:pPr>
    <w:r>
      <w:rPr>
        <w:rFonts w:hint="eastAsia" w:ascii="宋体" w:hAnsi="宋体"/>
      </w:rPr>
      <w:t>实验室废弃物暂存柜设备采购项目</w:t>
    </w:r>
    <w:r>
      <w:rPr>
        <w:rFonts w:hint="eastAsia"/>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both"/>
    </w:pPr>
    <w:r>
      <w:rPr>
        <w:rFonts w:hint="eastAsia"/>
      </w:rPr>
      <w:t xml:space="preserve">湖南科技大学外籍专家楼室内设施建设项目  </w:t>
    </w:r>
    <w:r>
      <w:rPr>
        <w:rFonts w:hint="eastAsia" w:ascii="宋体" w:hAnsi="宋体"/>
      </w:rPr>
      <w:t xml:space="preserve"> </w:t>
    </w:r>
    <w:r>
      <w:rPr>
        <w:rFonts w:hint="eastAsia"/>
      </w:rPr>
      <w:t xml:space="preserve">            第二章 投标人须知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both"/>
    </w:pPr>
    <w:r>
      <w:rPr>
        <w:rFonts w:hint="eastAsia"/>
      </w:rPr>
      <w:t xml:space="preserve">实验室废弃物暂存柜设备采购项目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both"/>
      <w:rPr>
        <w:rFonts w:ascii="宋体" w:hAnsi="宋体"/>
      </w:rPr>
    </w:pPr>
    <w:r>
      <w:rPr>
        <w:rFonts w:hint="eastAsia" w:ascii="宋体" w:hAnsi="宋体"/>
      </w:rPr>
      <w:t xml:space="preserve">实验室废弃物暂存柜设备采购项目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left"/>
    </w:pPr>
    <w:r>
      <w:rPr>
        <w:rFonts w:hint="eastAsia" w:ascii="宋体" w:hAnsi="宋体"/>
      </w:rPr>
      <w:t>实验室废弃物暂存柜设备采购项目</w:t>
    </w:r>
    <w:r>
      <w:rPr>
        <w:rFonts w:hint="eastAsia"/>
      </w:rPr>
      <w:t xml:space="preserve">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left"/>
    </w:pPr>
    <w:r>
      <w:rPr>
        <w:rFonts w:hint="eastAsia" w:ascii="宋体" w:hAnsi="宋体"/>
      </w:rPr>
      <w:t>实验室废弃物暂存柜设备采购项目</w:t>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multilevel"/>
    <w:tmpl w:val="0000000C"/>
    <w:lvl w:ilvl="0" w:tentative="0">
      <w:start w:val="1"/>
      <w:numFmt w:val="decimal"/>
      <w:lvlText w:val="（%1）"/>
      <w:lvlJc w:val="left"/>
      <w:pPr>
        <w:tabs>
          <w:tab w:val="left" w:pos="0"/>
        </w:tabs>
        <w:ind w:left="624" w:hanging="511"/>
      </w:pPr>
      <w:rPr>
        <w:rFonts w:hint="eastAsia" w:eastAsia="仿宋_GB2312"/>
        <w:b w:val="0"/>
        <w:i w:val="0"/>
        <w:sz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000000D"/>
    <w:multiLevelType w:val="multilevel"/>
    <w:tmpl w:val="0000000D"/>
    <w:lvl w:ilvl="0" w:tentative="0">
      <w:start w:val="29"/>
      <w:numFmt w:val="decimal"/>
      <w:lvlText w:val="%1."/>
      <w:lvlJc w:val="left"/>
      <w:pPr>
        <w:tabs>
          <w:tab w:val="left" w:pos="680"/>
        </w:tabs>
        <w:ind w:left="680" w:hanging="680"/>
      </w:pPr>
      <w:rPr>
        <w:rFonts w:hint="eastAsia" w:eastAsia="宋体"/>
        <w:b/>
        <w:i w:val="0"/>
        <w:sz w:val="24"/>
      </w:rPr>
    </w:lvl>
    <w:lvl w:ilvl="1" w:tentative="0">
      <w:start w:val="1"/>
      <w:numFmt w:val="decimal"/>
      <w:lvlText w:val="%1.%2"/>
      <w:lvlJc w:val="left"/>
      <w:pPr>
        <w:tabs>
          <w:tab w:val="left" w:pos="680"/>
        </w:tabs>
        <w:ind w:left="680" w:hanging="680"/>
      </w:pPr>
      <w:rPr>
        <w:rFonts w:hint="eastAsia" w:ascii="仿宋_GB2312" w:hAnsi="Times New Roman" w:eastAsia="仿宋_GB2312" w:cs="Times New Roman"/>
        <w:b w:val="0"/>
        <w:sz w:val="21"/>
        <w:szCs w:val="21"/>
      </w:rPr>
    </w:lvl>
    <w:lvl w:ilvl="2" w:tentative="0">
      <w:start w:val="1"/>
      <w:numFmt w:val="decimal"/>
      <w:lvlText w:val="%1.%2.%3"/>
      <w:lvlJc w:val="left"/>
      <w:pPr>
        <w:tabs>
          <w:tab w:val="left" w:pos="1146"/>
        </w:tabs>
        <w:ind w:left="1146"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2">
    <w:nsid w:val="0000000F"/>
    <w:multiLevelType w:val="multilevel"/>
    <w:tmpl w:val="0000000F"/>
    <w:lvl w:ilvl="0" w:tentative="0">
      <w:start w:val="1"/>
      <w:numFmt w:val="decimal"/>
      <w:lvlText w:val="（%1）"/>
      <w:lvlJc w:val="left"/>
      <w:pPr>
        <w:tabs>
          <w:tab w:val="left" w:pos="0"/>
        </w:tabs>
        <w:ind w:left="624" w:hanging="511"/>
      </w:pPr>
      <w:rPr>
        <w:rFonts w:hint="eastAsia" w:eastAsia="仿宋_GB2312"/>
        <w:b w:val="0"/>
        <w:i w:val="0"/>
        <w:sz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10"/>
    <w:multiLevelType w:val="multilevel"/>
    <w:tmpl w:val="00000010"/>
    <w:lvl w:ilvl="0" w:tentative="0">
      <w:start w:val="36"/>
      <w:numFmt w:val="decimal"/>
      <w:lvlText w:val="%1."/>
      <w:lvlJc w:val="left"/>
      <w:pPr>
        <w:tabs>
          <w:tab w:val="left" w:pos="680"/>
        </w:tabs>
        <w:ind w:left="680" w:hanging="680"/>
      </w:pPr>
      <w:rPr>
        <w:rFonts w:hint="eastAsia" w:eastAsia="宋体"/>
        <w:b/>
        <w:i w:val="0"/>
        <w:sz w:val="24"/>
      </w:rPr>
    </w:lvl>
    <w:lvl w:ilvl="1" w:tentative="0">
      <w:start w:val="1"/>
      <w:numFmt w:val="decimal"/>
      <w:lvlText w:val="%1.%2"/>
      <w:lvlJc w:val="left"/>
      <w:pPr>
        <w:tabs>
          <w:tab w:val="left" w:pos="680"/>
        </w:tabs>
        <w:ind w:left="680" w:hanging="680"/>
      </w:pPr>
      <w:rPr>
        <w:rFonts w:hint="eastAsia" w:ascii="仿宋_GB2312" w:hAnsi="Times New Roman" w:eastAsia="仿宋_GB2312" w:cs="Times New Roman"/>
        <w:b w:val="0"/>
        <w:sz w:val="21"/>
        <w:szCs w:val="21"/>
      </w:rPr>
    </w:lvl>
    <w:lvl w:ilvl="2" w:tentative="0">
      <w:start w:val="1"/>
      <w:numFmt w:val="decimal"/>
      <w:lvlText w:val="%1.%2.%3"/>
      <w:lvlJc w:val="left"/>
      <w:pPr>
        <w:tabs>
          <w:tab w:val="left" w:pos="1146"/>
        </w:tabs>
        <w:ind w:left="1146"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4">
    <w:nsid w:val="00000011"/>
    <w:multiLevelType w:val="multilevel"/>
    <w:tmpl w:val="00000011"/>
    <w:lvl w:ilvl="0" w:tentative="0">
      <w:start w:val="32"/>
      <w:numFmt w:val="decimal"/>
      <w:lvlText w:val="%1."/>
      <w:lvlJc w:val="left"/>
      <w:pPr>
        <w:tabs>
          <w:tab w:val="left" w:pos="680"/>
        </w:tabs>
        <w:ind w:left="680" w:hanging="680"/>
      </w:pPr>
      <w:rPr>
        <w:rFonts w:hint="eastAsia" w:eastAsia="宋体"/>
        <w:b/>
        <w:i w:val="0"/>
        <w:sz w:val="24"/>
      </w:rPr>
    </w:lvl>
    <w:lvl w:ilvl="1" w:tentative="0">
      <w:start w:val="1"/>
      <w:numFmt w:val="decimal"/>
      <w:lvlText w:val="%1.%2"/>
      <w:lvlJc w:val="left"/>
      <w:pPr>
        <w:tabs>
          <w:tab w:val="left" w:pos="680"/>
        </w:tabs>
        <w:ind w:left="680" w:hanging="680"/>
      </w:pPr>
      <w:rPr>
        <w:rFonts w:hint="eastAsia" w:ascii="仿宋_GB2312" w:hAnsi="Times New Roman" w:eastAsia="仿宋_GB2312" w:cs="Times New Roman"/>
        <w:b w:val="0"/>
        <w:sz w:val="21"/>
        <w:szCs w:val="21"/>
      </w:rPr>
    </w:lvl>
    <w:lvl w:ilvl="2" w:tentative="0">
      <w:start w:val="1"/>
      <w:numFmt w:val="decimal"/>
      <w:lvlText w:val="%1.%2.%3"/>
      <w:lvlJc w:val="left"/>
      <w:pPr>
        <w:tabs>
          <w:tab w:val="left" w:pos="1146"/>
        </w:tabs>
        <w:ind w:left="1146"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5">
    <w:nsid w:val="00000012"/>
    <w:multiLevelType w:val="multilevel"/>
    <w:tmpl w:val="00000012"/>
    <w:lvl w:ilvl="0" w:tentative="0">
      <w:start w:val="33"/>
      <w:numFmt w:val="decimal"/>
      <w:lvlText w:val="%1."/>
      <w:lvlJc w:val="left"/>
      <w:pPr>
        <w:tabs>
          <w:tab w:val="left" w:pos="680"/>
        </w:tabs>
        <w:ind w:left="680" w:hanging="680"/>
      </w:pPr>
      <w:rPr>
        <w:rFonts w:hint="eastAsia" w:eastAsia="宋体"/>
        <w:b/>
        <w:i w:val="0"/>
        <w:sz w:val="24"/>
      </w:rPr>
    </w:lvl>
    <w:lvl w:ilvl="1" w:tentative="0">
      <w:start w:val="1"/>
      <w:numFmt w:val="decimal"/>
      <w:lvlText w:val="%1.%2"/>
      <w:lvlJc w:val="left"/>
      <w:pPr>
        <w:tabs>
          <w:tab w:val="left" w:pos="680"/>
        </w:tabs>
        <w:ind w:left="680" w:hanging="680"/>
      </w:pPr>
      <w:rPr>
        <w:rFonts w:hint="eastAsia" w:ascii="仿宋_GB2312" w:hAnsi="Times New Roman" w:eastAsia="仿宋_GB2312" w:cs="Times New Roman"/>
        <w:b w:val="0"/>
        <w:sz w:val="21"/>
        <w:szCs w:val="21"/>
      </w:rPr>
    </w:lvl>
    <w:lvl w:ilvl="2" w:tentative="0">
      <w:start w:val="1"/>
      <w:numFmt w:val="decimal"/>
      <w:lvlText w:val="%1.%2.%3"/>
      <w:lvlJc w:val="left"/>
      <w:pPr>
        <w:tabs>
          <w:tab w:val="left" w:pos="1146"/>
        </w:tabs>
        <w:ind w:left="1146"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6">
    <w:nsid w:val="00000013"/>
    <w:multiLevelType w:val="multilevel"/>
    <w:tmpl w:val="00000013"/>
    <w:lvl w:ilvl="0" w:tentative="0">
      <w:start w:val="35"/>
      <w:numFmt w:val="decimal"/>
      <w:lvlText w:val="%1."/>
      <w:lvlJc w:val="left"/>
      <w:pPr>
        <w:tabs>
          <w:tab w:val="left" w:pos="680"/>
        </w:tabs>
        <w:ind w:left="680" w:hanging="680"/>
      </w:pPr>
      <w:rPr>
        <w:rFonts w:hint="eastAsia" w:eastAsia="宋体"/>
        <w:b/>
        <w:i w:val="0"/>
        <w:sz w:val="24"/>
      </w:rPr>
    </w:lvl>
    <w:lvl w:ilvl="1" w:tentative="0">
      <w:start w:val="1"/>
      <w:numFmt w:val="decimal"/>
      <w:lvlText w:val="%1.%2"/>
      <w:lvlJc w:val="left"/>
      <w:pPr>
        <w:tabs>
          <w:tab w:val="left" w:pos="680"/>
        </w:tabs>
        <w:ind w:left="680" w:hanging="680"/>
      </w:pPr>
      <w:rPr>
        <w:rFonts w:hint="eastAsia" w:ascii="仿宋_GB2312" w:hAnsi="Times New Roman" w:eastAsia="仿宋_GB2312" w:cs="Times New Roman"/>
        <w:b w:val="0"/>
        <w:sz w:val="21"/>
        <w:szCs w:val="21"/>
      </w:rPr>
    </w:lvl>
    <w:lvl w:ilvl="2" w:tentative="0">
      <w:start w:val="1"/>
      <w:numFmt w:val="decimal"/>
      <w:lvlText w:val="%1.%2.%3"/>
      <w:lvlJc w:val="left"/>
      <w:pPr>
        <w:tabs>
          <w:tab w:val="left" w:pos="1146"/>
        </w:tabs>
        <w:ind w:left="1146"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7">
    <w:nsid w:val="00000014"/>
    <w:multiLevelType w:val="multilevel"/>
    <w:tmpl w:val="00000014"/>
    <w:lvl w:ilvl="0" w:tentative="0">
      <w:start w:val="1"/>
      <w:numFmt w:val="decimal"/>
      <w:lvlText w:val="（%1）"/>
      <w:lvlJc w:val="left"/>
      <w:pPr>
        <w:tabs>
          <w:tab w:val="left" w:pos="0"/>
        </w:tabs>
        <w:ind w:left="624" w:hanging="511"/>
      </w:pPr>
      <w:rPr>
        <w:rFonts w:hint="eastAsia" w:eastAsia="仿宋_GB2312"/>
        <w:b w:val="0"/>
        <w:i w:val="0"/>
        <w:sz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0000015"/>
    <w:multiLevelType w:val="multilevel"/>
    <w:tmpl w:val="00000015"/>
    <w:lvl w:ilvl="0" w:tentative="0">
      <w:start w:val="13"/>
      <w:numFmt w:val="decimal"/>
      <w:lvlText w:val="%1."/>
      <w:lvlJc w:val="left"/>
      <w:pPr>
        <w:tabs>
          <w:tab w:val="left" w:pos="680"/>
        </w:tabs>
        <w:ind w:left="680" w:hanging="680"/>
      </w:pPr>
      <w:rPr>
        <w:rFonts w:hint="eastAsia" w:eastAsia="宋体"/>
        <w:b/>
        <w:i w:val="0"/>
        <w:sz w:val="24"/>
      </w:rPr>
    </w:lvl>
    <w:lvl w:ilvl="1" w:tentative="0">
      <w:start w:val="1"/>
      <w:numFmt w:val="decimal"/>
      <w:lvlText w:val="%1.%2"/>
      <w:lvlJc w:val="left"/>
      <w:pPr>
        <w:tabs>
          <w:tab w:val="left" w:pos="680"/>
        </w:tabs>
        <w:ind w:left="680" w:hanging="680"/>
      </w:pPr>
      <w:rPr>
        <w:rFonts w:hint="default" w:ascii="Times New Roman" w:hAnsi="Times New Roman" w:eastAsia="宋体" w:cs="Times New Roman"/>
        <w:b w:val="0"/>
        <w:sz w:val="21"/>
        <w:szCs w:val="21"/>
      </w:rPr>
    </w:lvl>
    <w:lvl w:ilvl="2" w:tentative="0">
      <w:start w:val="1"/>
      <w:numFmt w:val="decimal"/>
      <w:lvlText w:val="%1.%2.%3"/>
      <w:lvlJc w:val="left"/>
      <w:pPr>
        <w:tabs>
          <w:tab w:val="left" w:pos="1146"/>
        </w:tabs>
        <w:ind w:left="1146"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9">
    <w:nsid w:val="00000017"/>
    <w:multiLevelType w:val="multilevel"/>
    <w:tmpl w:val="00000017"/>
    <w:lvl w:ilvl="0" w:tentative="0">
      <w:start w:val="21"/>
      <w:numFmt w:val="decimal"/>
      <w:lvlText w:val="%1."/>
      <w:lvlJc w:val="left"/>
      <w:pPr>
        <w:tabs>
          <w:tab w:val="left" w:pos="680"/>
        </w:tabs>
        <w:ind w:left="680" w:hanging="680"/>
      </w:pPr>
      <w:rPr>
        <w:rFonts w:hint="eastAsia" w:eastAsia="宋体"/>
        <w:b/>
        <w:i w:val="0"/>
        <w:sz w:val="24"/>
      </w:rPr>
    </w:lvl>
    <w:lvl w:ilvl="1" w:tentative="0">
      <w:start w:val="1"/>
      <w:numFmt w:val="decimal"/>
      <w:lvlText w:val="%1.%2"/>
      <w:lvlJc w:val="left"/>
      <w:pPr>
        <w:tabs>
          <w:tab w:val="left" w:pos="680"/>
        </w:tabs>
        <w:ind w:left="680" w:hanging="680"/>
      </w:pPr>
      <w:rPr>
        <w:rFonts w:hint="eastAsia" w:ascii="仿宋_GB2312" w:hAnsi="Times New Roman" w:eastAsia="仿宋_GB2312" w:cs="Times New Roman"/>
        <w:b w:val="0"/>
        <w:sz w:val="21"/>
        <w:szCs w:val="21"/>
      </w:rPr>
    </w:lvl>
    <w:lvl w:ilvl="2" w:tentative="0">
      <w:start w:val="1"/>
      <w:numFmt w:val="decimal"/>
      <w:lvlText w:val="%1.%2.%3"/>
      <w:lvlJc w:val="left"/>
      <w:pPr>
        <w:tabs>
          <w:tab w:val="left" w:pos="1146"/>
        </w:tabs>
        <w:ind w:left="1146"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10">
    <w:nsid w:val="00000018"/>
    <w:multiLevelType w:val="multilevel"/>
    <w:tmpl w:val="00000018"/>
    <w:lvl w:ilvl="0" w:tentative="0">
      <w:start w:val="28"/>
      <w:numFmt w:val="decimal"/>
      <w:lvlText w:val="%1."/>
      <w:lvlJc w:val="left"/>
      <w:pPr>
        <w:tabs>
          <w:tab w:val="left" w:pos="680"/>
        </w:tabs>
        <w:ind w:left="680" w:hanging="680"/>
      </w:pPr>
      <w:rPr>
        <w:rFonts w:hint="eastAsia" w:eastAsia="宋体"/>
        <w:b/>
        <w:i w:val="0"/>
        <w:sz w:val="24"/>
      </w:rPr>
    </w:lvl>
    <w:lvl w:ilvl="1" w:tentative="0">
      <w:start w:val="1"/>
      <w:numFmt w:val="decimal"/>
      <w:lvlText w:val="%1.%2"/>
      <w:lvlJc w:val="left"/>
      <w:pPr>
        <w:tabs>
          <w:tab w:val="left" w:pos="680"/>
        </w:tabs>
        <w:ind w:left="680" w:hanging="680"/>
      </w:pPr>
      <w:rPr>
        <w:rFonts w:hint="eastAsia" w:ascii="仿宋_GB2312" w:hAnsi="Times New Roman" w:eastAsia="仿宋_GB2312" w:cs="Times New Roman"/>
        <w:b w:val="0"/>
        <w:sz w:val="21"/>
        <w:szCs w:val="21"/>
      </w:rPr>
    </w:lvl>
    <w:lvl w:ilvl="2" w:tentative="0">
      <w:start w:val="1"/>
      <w:numFmt w:val="decimal"/>
      <w:lvlText w:val="%1.%2.%3"/>
      <w:lvlJc w:val="left"/>
      <w:pPr>
        <w:tabs>
          <w:tab w:val="left" w:pos="1146"/>
        </w:tabs>
        <w:ind w:left="1146"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11">
    <w:nsid w:val="0000001A"/>
    <w:multiLevelType w:val="multilevel"/>
    <w:tmpl w:val="0000001A"/>
    <w:lvl w:ilvl="0" w:tentative="0">
      <w:start w:val="1"/>
      <w:numFmt w:val="decimal"/>
      <w:lvlText w:val="（%1）"/>
      <w:lvlJc w:val="left"/>
      <w:pPr>
        <w:tabs>
          <w:tab w:val="left" w:pos="0"/>
        </w:tabs>
        <w:ind w:left="624" w:hanging="511"/>
      </w:pPr>
      <w:rPr>
        <w:rFonts w:hint="eastAsia" w:eastAsia="仿宋_GB2312"/>
        <w:b w:val="0"/>
        <w:i w:val="0"/>
        <w:sz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0000001B"/>
    <w:multiLevelType w:val="multilevel"/>
    <w:tmpl w:val="0000001B"/>
    <w:lvl w:ilvl="0" w:tentative="0">
      <w:start w:val="18"/>
      <w:numFmt w:val="decimal"/>
      <w:lvlText w:val="%1."/>
      <w:lvlJc w:val="left"/>
      <w:pPr>
        <w:tabs>
          <w:tab w:val="left" w:pos="680"/>
        </w:tabs>
        <w:ind w:left="680" w:hanging="680"/>
      </w:pPr>
      <w:rPr>
        <w:rFonts w:hint="eastAsia" w:eastAsia="宋体"/>
        <w:b/>
        <w:i w:val="0"/>
        <w:sz w:val="24"/>
      </w:rPr>
    </w:lvl>
    <w:lvl w:ilvl="1" w:tentative="0">
      <w:start w:val="1"/>
      <w:numFmt w:val="decimal"/>
      <w:lvlText w:val="%1.%2"/>
      <w:lvlJc w:val="left"/>
      <w:pPr>
        <w:tabs>
          <w:tab w:val="left" w:pos="680"/>
        </w:tabs>
        <w:ind w:left="680" w:hanging="680"/>
      </w:pPr>
      <w:rPr>
        <w:rFonts w:hint="eastAsia" w:ascii="仿宋_GB2312" w:hAnsi="Times New Roman" w:eastAsia="仿宋_GB2312" w:cs="Times New Roman"/>
        <w:b w:val="0"/>
        <w:sz w:val="21"/>
        <w:szCs w:val="21"/>
      </w:rPr>
    </w:lvl>
    <w:lvl w:ilvl="2" w:tentative="0">
      <w:start w:val="1"/>
      <w:numFmt w:val="decimal"/>
      <w:lvlText w:val="%1.%2.%3"/>
      <w:lvlJc w:val="left"/>
      <w:pPr>
        <w:tabs>
          <w:tab w:val="left" w:pos="1146"/>
        </w:tabs>
        <w:ind w:left="1146"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13">
    <w:nsid w:val="0000001C"/>
    <w:multiLevelType w:val="multilevel"/>
    <w:tmpl w:val="0000001C"/>
    <w:lvl w:ilvl="0" w:tentative="0">
      <w:start w:val="17"/>
      <w:numFmt w:val="decimal"/>
      <w:lvlText w:val="%1."/>
      <w:lvlJc w:val="left"/>
      <w:pPr>
        <w:tabs>
          <w:tab w:val="left" w:pos="680"/>
        </w:tabs>
        <w:ind w:left="680" w:hanging="680"/>
      </w:pPr>
      <w:rPr>
        <w:rFonts w:hint="eastAsia" w:eastAsia="宋体"/>
        <w:b/>
        <w:i w:val="0"/>
        <w:sz w:val="24"/>
      </w:rPr>
    </w:lvl>
    <w:lvl w:ilvl="1" w:tentative="0">
      <w:start w:val="1"/>
      <w:numFmt w:val="decimal"/>
      <w:lvlText w:val="%1.%2"/>
      <w:lvlJc w:val="left"/>
      <w:pPr>
        <w:tabs>
          <w:tab w:val="left" w:pos="680"/>
        </w:tabs>
        <w:ind w:left="680" w:hanging="680"/>
      </w:pPr>
      <w:rPr>
        <w:rFonts w:hint="eastAsia" w:ascii="仿宋_GB2312" w:hAnsi="Times New Roman" w:eastAsia="仿宋_GB2312" w:cs="Times New Roman"/>
        <w:b w:val="0"/>
        <w:sz w:val="21"/>
        <w:szCs w:val="21"/>
      </w:rPr>
    </w:lvl>
    <w:lvl w:ilvl="2" w:tentative="0">
      <w:start w:val="1"/>
      <w:numFmt w:val="decimal"/>
      <w:lvlText w:val="%1.%2.%3"/>
      <w:lvlJc w:val="left"/>
      <w:pPr>
        <w:tabs>
          <w:tab w:val="left" w:pos="1146"/>
        </w:tabs>
        <w:ind w:left="1146"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14">
    <w:nsid w:val="0000001E"/>
    <w:multiLevelType w:val="multilevel"/>
    <w:tmpl w:val="0000001E"/>
    <w:lvl w:ilvl="0" w:tentative="0">
      <w:start w:val="22"/>
      <w:numFmt w:val="decimal"/>
      <w:lvlText w:val="%1."/>
      <w:lvlJc w:val="left"/>
      <w:pPr>
        <w:tabs>
          <w:tab w:val="left" w:pos="680"/>
        </w:tabs>
        <w:ind w:left="680" w:hanging="680"/>
      </w:pPr>
      <w:rPr>
        <w:rFonts w:hint="eastAsia" w:eastAsia="宋体"/>
        <w:b/>
        <w:i w:val="0"/>
        <w:sz w:val="24"/>
      </w:rPr>
    </w:lvl>
    <w:lvl w:ilvl="1" w:tentative="0">
      <w:start w:val="1"/>
      <w:numFmt w:val="decimal"/>
      <w:lvlText w:val="%1.%2"/>
      <w:lvlJc w:val="left"/>
      <w:pPr>
        <w:tabs>
          <w:tab w:val="left" w:pos="680"/>
        </w:tabs>
        <w:ind w:left="680" w:hanging="680"/>
      </w:pPr>
      <w:rPr>
        <w:rFonts w:hint="eastAsia" w:ascii="仿宋_GB2312" w:hAnsi="Times New Roman" w:eastAsia="仿宋_GB2312" w:cs="Times New Roman"/>
        <w:b w:val="0"/>
        <w:sz w:val="21"/>
        <w:szCs w:val="21"/>
      </w:rPr>
    </w:lvl>
    <w:lvl w:ilvl="2" w:tentative="0">
      <w:start w:val="1"/>
      <w:numFmt w:val="decimal"/>
      <w:lvlText w:val="%1.%2.%3"/>
      <w:lvlJc w:val="left"/>
      <w:pPr>
        <w:tabs>
          <w:tab w:val="left" w:pos="1146"/>
        </w:tabs>
        <w:ind w:left="1146"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15">
    <w:nsid w:val="0000001F"/>
    <w:multiLevelType w:val="multilevel"/>
    <w:tmpl w:val="0000001F"/>
    <w:lvl w:ilvl="0" w:tentative="0">
      <w:start w:val="26"/>
      <w:numFmt w:val="decimal"/>
      <w:lvlText w:val="%1."/>
      <w:lvlJc w:val="left"/>
      <w:pPr>
        <w:tabs>
          <w:tab w:val="left" w:pos="680"/>
        </w:tabs>
        <w:ind w:left="680" w:hanging="680"/>
      </w:pPr>
      <w:rPr>
        <w:rFonts w:hint="eastAsia" w:eastAsia="宋体"/>
        <w:b/>
        <w:i w:val="0"/>
        <w:sz w:val="24"/>
      </w:rPr>
    </w:lvl>
    <w:lvl w:ilvl="1" w:tentative="0">
      <w:start w:val="1"/>
      <w:numFmt w:val="decimal"/>
      <w:lvlText w:val="%1.%2"/>
      <w:lvlJc w:val="left"/>
      <w:pPr>
        <w:tabs>
          <w:tab w:val="left" w:pos="680"/>
        </w:tabs>
        <w:ind w:left="680" w:hanging="680"/>
      </w:pPr>
      <w:rPr>
        <w:rFonts w:hint="eastAsia" w:ascii="仿宋_GB2312" w:hAnsi="Times New Roman" w:eastAsia="仿宋_GB2312" w:cs="Times New Roman"/>
        <w:b w:val="0"/>
        <w:sz w:val="21"/>
        <w:szCs w:val="21"/>
      </w:rPr>
    </w:lvl>
    <w:lvl w:ilvl="2" w:tentative="0">
      <w:start w:val="1"/>
      <w:numFmt w:val="decimal"/>
      <w:lvlText w:val="%1.%2.%3"/>
      <w:lvlJc w:val="left"/>
      <w:pPr>
        <w:tabs>
          <w:tab w:val="left" w:pos="1146"/>
        </w:tabs>
        <w:ind w:left="1146"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16">
    <w:nsid w:val="00000023"/>
    <w:multiLevelType w:val="multilevel"/>
    <w:tmpl w:val="00000023"/>
    <w:lvl w:ilvl="0" w:tentative="0">
      <w:start w:val="39"/>
      <w:numFmt w:val="decimal"/>
      <w:lvlText w:val="%1"/>
      <w:lvlJc w:val="left"/>
      <w:pPr>
        <w:tabs>
          <w:tab w:val="left" w:pos="420"/>
        </w:tabs>
        <w:ind w:left="420" w:hanging="420"/>
      </w:pPr>
      <w:rPr>
        <w:rFonts w:hint="default"/>
      </w:rPr>
    </w:lvl>
    <w:lvl w:ilvl="1" w:tentative="0">
      <w:start w:val="1"/>
      <w:numFmt w:val="decimal"/>
      <w:lvlText w:val="%1.%2"/>
      <w:lvlJc w:val="left"/>
      <w:pPr>
        <w:tabs>
          <w:tab w:val="left" w:pos="420"/>
        </w:tabs>
        <w:ind w:left="420" w:hanging="42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17">
    <w:nsid w:val="00000027"/>
    <w:multiLevelType w:val="multilevel"/>
    <w:tmpl w:val="00000027"/>
    <w:lvl w:ilvl="0" w:tentative="0">
      <w:start w:val="1"/>
      <w:numFmt w:val="decimal"/>
      <w:lvlText w:val="（%1）"/>
      <w:lvlJc w:val="left"/>
      <w:pPr>
        <w:tabs>
          <w:tab w:val="left" w:pos="67"/>
        </w:tabs>
        <w:ind w:left="691" w:hanging="511"/>
      </w:pPr>
      <w:rPr>
        <w:rFonts w:hint="eastAsia" w:eastAsia="仿宋_GB2312"/>
        <w:b w:val="0"/>
        <w:i w:val="0"/>
        <w:sz w:val="21"/>
        <w:lang w:val="en-U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8">
    <w:nsid w:val="00000028"/>
    <w:multiLevelType w:val="multilevel"/>
    <w:tmpl w:val="00000028"/>
    <w:lvl w:ilvl="0" w:tentative="0">
      <w:start w:val="37"/>
      <w:numFmt w:val="decimal"/>
      <w:lvlText w:val="%1."/>
      <w:lvlJc w:val="left"/>
      <w:pPr>
        <w:tabs>
          <w:tab w:val="left" w:pos="680"/>
        </w:tabs>
        <w:ind w:left="680" w:hanging="680"/>
      </w:pPr>
      <w:rPr>
        <w:rFonts w:hint="eastAsia" w:eastAsia="宋体"/>
        <w:b/>
        <w:i w:val="0"/>
        <w:sz w:val="24"/>
      </w:rPr>
    </w:lvl>
    <w:lvl w:ilvl="1" w:tentative="0">
      <w:start w:val="1"/>
      <w:numFmt w:val="decimal"/>
      <w:lvlText w:val="%1.%2"/>
      <w:lvlJc w:val="left"/>
      <w:pPr>
        <w:tabs>
          <w:tab w:val="left" w:pos="680"/>
        </w:tabs>
        <w:ind w:left="680" w:hanging="680"/>
      </w:pPr>
      <w:rPr>
        <w:rFonts w:hint="eastAsia" w:ascii="仿宋_GB2312" w:hAnsi="Times New Roman" w:eastAsia="仿宋_GB2312" w:cs="Times New Roman"/>
        <w:b w:val="0"/>
        <w:sz w:val="21"/>
        <w:szCs w:val="21"/>
      </w:rPr>
    </w:lvl>
    <w:lvl w:ilvl="2" w:tentative="0">
      <w:start w:val="1"/>
      <w:numFmt w:val="decimal"/>
      <w:lvlText w:val="%1.%2.%3"/>
      <w:lvlJc w:val="left"/>
      <w:pPr>
        <w:tabs>
          <w:tab w:val="left" w:pos="1146"/>
        </w:tabs>
        <w:ind w:left="1146"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19">
    <w:nsid w:val="0000002C"/>
    <w:multiLevelType w:val="multilevel"/>
    <w:tmpl w:val="0000002C"/>
    <w:lvl w:ilvl="0" w:tentative="0">
      <w:start w:val="16"/>
      <w:numFmt w:val="decimal"/>
      <w:lvlText w:val="%1."/>
      <w:lvlJc w:val="left"/>
      <w:pPr>
        <w:tabs>
          <w:tab w:val="left" w:pos="680"/>
        </w:tabs>
        <w:ind w:left="680" w:hanging="680"/>
      </w:pPr>
      <w:rPr>
        <w:rFonts w:hint="eastAsia" w:eastAsia="宋体"/>
        <w:b/>
        <w:i w:val="0"/>
        <w:sz w:val="24"/>
      </w:rPr>
    </w:lvl>
    <w:lvl w:ilvl="1" w:tentative="0">
      <w:start w:val="1"/>
      <w:numFmt w:val="decimal"/>
      <w:lvlText w:val="%1.%2"/>
      <w:lvlJc w:val="left"/>
      <w:pPr>
        <w:tabs>
          <w:tab w:val="left" w:pos="680"/>
        </w:tabs>
        <w:ind w:left="680" w:hanging="680"/>
      </w:pPr>
      <w:rPr>
        <w:rFonts w:hint="eastAsia" w:ascii="仿宋_GB2312" w:hAnsi="Times New Roman" w:eastAsia="仿宋_GB2312" w:cs="Times New Roman"/>
        <w:b w:val="0"/>
        <w:sz w:val="21"/>
        <w:szCs w:val="21"/>
      </w:rPr>
    </w:lvl>
    <w:lvl w:ilvl="2" w:tentative="0">
      <w:start w:val="1"/>
      <w:numFmt w:val="decimal"/>
      <w:lvlText w:val="%1.%2.%3"/>
      <w:lvlJc w:val="left"/>
      <w:pPr>
        <w:tabs>
          <w:tab w:val="left" w:pos="1146"/>
        </w:tabs>
        <w:ind w:left="1146"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20">
    <w:nsid w:val="0000002F"/>
    <w:multiLevelType w:val="multilevel"/>
    <w:tmpl w:val="0000002F"/>
    <w:lvl w:ilvl="0" w:tentative="0">
      <w:start w:val="1"/>
      <w:numFmt w:val="decimal"/>
      <w:lvlText w:val="(%1) "/>
      <w:lvlJc w:val="left"/>
      <w:pPr>
        <w:tabs>
          <w:tab w:val="left" w:pos="624"/>
        </w:tabs>
        <w:ind w:left="0" w:firstLine="340"/>
      </w:pPr>
      <w:rPr>
        <w:rFonts w:hint="default" w:ascii="Times New Roman" w:hAnsi="Times New Roman" w:eastAsia="宋体" w:cs="Times New Roman"/>
        <w:b w:val="0"/>
        <w:i w:val="0"/>
        <w:sz w:val="21"/>
        <w:szCs w:val="21"/>
      </w:rPr>
    </w:lvl>
    <w:lvl w:ilvl="1" w:tentative="0">
      <w:start w:val="1"/>
      <w:numFmt w:val="decimal"/>
      <w:lvlText w:val="%2) "/>
      <w:lvlJc w:val="left"/>
      <w:pPr>
        <w:tabs>
          <w:tab w:val="left" w:pos="0"/>
        </w:tabs>
        <w:ind w:left="0" w:firstLine="454"/>
      </w:pPr>
      <w:rPr>
        <w:rFonts w:hint="eastAsia" w:eastAsia="宋体"/>
        <w:b w:val="0"/>
        <w:i w:val="0"/>
        <w:sz w:val="21"/>
        <w:szCs w:val="21"/>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21">
    <w:nsid w:val="00000030"/>
    <w:multiLevelType w:val="multilevel"/>
    <w:tmpl w:val="00000030"/>
    <w:lvl w:ilvl="0" w:tentative="0">
      <w:start w:val="20"/>
      <w:numFmt w:val="decimal"/>
      <w:lvlText w:val="%1."/>
      <w:lvlJc w:val="left"/>
      <w:pPr>
        <w:tabs>
          <w:tab w:val="left" w:pos="680"/>
        </w:tabs>
        <w:ind w:left="680" w:hanging="680"/>
      </w:pPr>
      <w:rPr>
        <w:rFonts w:hint="eastAsia" w:eastAsia="宋体"/>
        <w:b/>
        <w:i w:val="0"/>
        <w:sz w:val="24"/>
      </w:rPr>
    </w:lvl>
    <w:lvl w:ilvl="1" w:tentative="0">
      <w:start w:val="1"/>
      <w:numFmt w:val="decimal"/>
      <w:lvlText w:val="%1.%2"/>
      <w:lvlJc w:val="left"/>
      <w:pPr>
        <w:tabs>
          <w:tab w:val="left" w:pos="680"/>
        </w:tabs>
        <w:ind w:left="680" w:hanging="680"/>
      </w:pPr>
      <w:rPr>
        <w:rFonts w:hint="eastAsia" w:ascii="仿宋_GB2312" w:hAnsi="Times New Roman" w:eastAsia="仿宋_GB2312" w:cs="Times New Roman"/>
        <w:b w:val="0"/>
        <w:sz w:val="21"/>
        <w:szCs w:val="21"/>
      </w:rPr>
    </w:lvl>
    <w:lvl w:ilvl="2" w:tentative="0">
      <w:start w:val="1"/>
      <w:numFmt w:val="decimal"/>
      <w:lvlText w:val="%1.%2.%3"/>
      <w:lvlJc w:val="left"/>
      <w:pPr>
        <w:tabs>
          <w:tab w:val="left" w:pos="1146"/>
        </w:tabs>
        <w:ind w:left="1146"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22">
    <w:nsid w:val="00000031"/>
    <w:multiLevelType w:val="multilevel"/>
    <w:tmpl w:val="00000031"/>
    <w:lvl w:ilvl="0" w:tentative="0">
      <w:start w:val="14"/>
      <w:numFmt w:val="decimal"/>
      <w:lvlText w:val="%1."/>
      <w:lvlJc w:val="left"/>
      <w:pPr>
        <w:tabs>
          <w:tab w:val="left" w:pos="680"/>
        </w:tabs>
        <w:ind w:left="680" w:hanging="680"/>
      </w:pPr>
      <w:rPr>
        <w:rFonts w:hint="eastAsia" w:eastAsia="宋体"/>
        <w:b/>
        <w:i w:val="0"/>
        <w:sz w:val="24"/>
      </w:rPr>
    </w:lvl>
    <w:lvl w:ilvl="1" w:tentative="0">
      <w:start w:val="1"/>
      <w:numFmt w:val="decimal"/>
      <w:lvlText w:val="%1.%2"/>
      <w:lvlJc w:val="left"/>
      <w:pPr>
        <w:tabs>
          <w:tab w:val="left" w:pos="680"/>
        </w:tabs>
        <w:ind w:left="680" w:hanging="680"/>
      </w:pPr>
      <w:rPr>
        <w:rFonts w:hint="eastAsia" w:ascii="仿宋_GB2312" w:hAnsi="Times New Roman" w:eastAsia="仿宋_GB2312" w:cs="Times New Roman"/>
        <w:b w:val="0"/>
        <w:sz w:val="21"/>
        <w:szCs w:val="21"/>
      </w:rPr>
    </w:lvl>
    <w:lvl w:ilvl="2" w:tentative="0">
      <w:start w:val="1"/>
      <w:numFmt w:val="decimal"/>
      <w:lvlText w:val="%1.%2.%3"/>
      <w:lvlJc w:val="left"/>
      <w:pPr>
        <w:tabs>
          <w:tab w:val="left" w:pos="1146"/>
        </w:tabs>
        <w:ind w:left="1146"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23">
    <w:nsid w:val="00000032"/>
    <w:multiLevelType w:val="multilevel"/>
    <w:tmpl w:val="00000032"/>
    <w:lvl w:ilvl="0" w:tentative="0">
      <w:start w:val="11"/>
      <w:numFmt w:val="decimal"/>
      <w:lvlText w:val="%1."/>
      <w:lvlJc w:val="left"/>
      <w:pPr>
        <w:tabs>
          <w:tab w:val="left" w:pos="680"/>
        </w:tabs>
        <w:ind w:left="680" w:hanging="680"/>
      </w:pPr>
      <w:rPr>
        <w:rFonts w:hint="eastAsia" w:eastAsia="宋体"/>
        <w:b/>
        <w:i w:val="0"/>
        <w:sz w:val="24"/>
      </w:rPr>
    </w:lvl>
    <w:lvl w:ilvl="1" w:tentative="0">
      <w:start w:val="1"/>
      <w:numFmt w:val="decimal"/>
      <w:lvlText w:val="%1.%2"/>
      <w:lvlJc w:val="left"/>
      <w:pPr>
        <w:tabs>
          <w:tab w:val="left" w:pos="680"/>
        </w:tabs>
        <w:ind w:left="680" w:hanging="680"/>
      </w:pPr>
      <w:rPr>
        <w:rFonts w:hint="eastAsia" w:ascii="仿宋_GB2312" w:hAnsi="Times New Roman" w:eastAsia="仿宋_GB2312" w:cs="Times New Roman"/>
        <w:b w:val="0"/>
        <w:sz w:val="21"/>
        <w:szCs w:val="21"/>
      </w:rPr>
    </w:lvl>
    <w:lvl w:ilvl="2" w:tentative="0">
      <w:start w:val="1"/>
      <w:numFmt w:val="decimal"/>
      <w:lvlText w:val="%1.%2.%3"/>
      <w:lvlJc w:val="left"/>
      <w:pPr>
        <w:tabs>
          <w:tab w:val="left" w:pos="1146"/>
        </w:tabs>
        <w:ind w:left="1146"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24">
    <w:nsid w:val="00000034"/>
    <w:multiLevelType w:val="multilevel"/>
    <w:tmpl w:val="00000034"/>
    <w:lvl w:ilvl="0" w:tentative="0">
      <w:start w:val="3"/>
      <w:numFmt w:val="decimal"/>
      <w:lvlText w:val="%1."/>
      <w:lvlJc w:val="left"/>
      <w:pPr>
        <w:tabs>
          <w:tab w:val="left" w:pos="680"/>
        </w:tabs>
        <w:ind w:left="680" w:hanging="680"/>
      </w:pPr>
      <w:rPr>
        <w:rFonts w:hint="eastAsia" w:eastAsia="宋体"/>
        <w:b/>
        <w:i w:val="0"/>
        <w:sz w:val="24"/>
      </w:rPr>
    </w:lvl>
    <w:lvl w:ilvl="1" w:tentative="0">
      <w:start w:val="1"/>
      <w:numFmt w:val="decimal"/>
      <w:lvlText w:val="%1.%2"/>
      <w:lvlJc w:val="left"/>
      <w:pPr>
        <w:tabs>
          <w:tab w:val="left" w:pos="680"/>
        </w:tabs>
        <w:ind w:left="680" w:hanging="680"/>
      </w:pPr>
      <w:rPr>
        <w:rFonts w:hint="eastAsia" w:ascii="仿宋_GB2312" w:hAnsi="Times New Roman" w:eastAsia="仿宋_GB2312" w:cs="Times New Roman"/>
        <w:b w:val="0"/>
        <w:color w:val="auto"/>
        <w:sz w:val="21"/>
        <w:szCs w:val="21"/>
      </w:rPr>
    </w:lvl>
    <w:lvl w:ilvl="2" w:tentative="0">
      <w:start w:val="1"/>
      <w:numFmt w:val="decimal"/>
      <w:lvlText w:val="%1.%2.%3"/>
      <w:lvlJc w:val="left"/>
      <w:pPr>
        <w:tabs>
          <w:tab w:val="left" w:pos="1146"/>
        </w:tabs>
        <w:ind w:left="1146"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25">
    <w:nsid w:val="00000035"/>
    <w:multiLevelType w:val="multilevel"/>
    <w:tmpl w:val="00000035"/>
    <w:lvl w:ilvl="0" w:tentative="0">
      <w:start w:val="38"/>
      <w:numFmt w:val="decimal"/>
      <w:lvlText w:val="%1."/>
      <w:lvlJc w:val="left"/>
      <w:pPr>
        <w:tabs>
          <w:tab w:val="left" w:pos="680"/>
        </w:tabs>
        <w:ind w:left="680" w:hanging="680"/>
      </w:pPr>
      <w:rPr>
        <w:rFonts w:hint="eastAsia" w:eastAsia="宋体"/>
        <w:b/>
        <w:i w:val="0"/>
        <w:sz w:val="24"/>
      </w:rPr>
    </w:lvl>
    <w:lvl w:ilvl="1" w:tentative="0">
      <w:start w:val="1"/>
      <w:numFmt w:val="decimal"/>
      <w:lvlText w:val="%1.%2"/>
      <w:lvlJc w:val="left"/>
      <w:pPr>
        <w:tabs>
          <w:tab w:val="left" w:pos="680"/>
        </w:tabs>
        <w:ind w:left="680" w:hanging="680"/>
      </w:pPr>
      <w:rPr>
        <w:rFonts w:hint="eastAsia" w:ascii="仿宋_GB2312" w:hAnsi="Times New Roman" w:eastAsia="仿宋_GB2312" w:cs="Times New Roman"/>
        <w:b w:val="0"/>
        <w:sz w:val="21"/>
        <w:szCs w:val="21"/>
      </w:rPr>
    </w:lvl>
    <w:lvl w:ilvl="2" w:tentative="0">
      <w:start w:val="1"/>
      <w:numFmt w:val="decimal"/>
      <w:lvlText w:val="%1.%2.%3"/>
      <w:lvlJc w:val="left"/>
      <w:pPr>
        <w:tabs>
          <w:tab w:val="left" w:pos="1146"/>
        </w:tabs>
        <w:ind w:left="1146"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26">
    <w:nsid w:val="00000038"/>
    <w:multiLevelType w:val="multilevel"/>
    <w:tmpl w:val="00000038"/>
    <w:lvl w:ilvl="0" w:tentative="0">
      <w:start w:val="1"/>
      <w:numFmt w:val="decimal"/>
      <w:lvlText w:val="%1"/>
      <w:lvlJc w:val="center"/>
      <w:pPr>
        <w:tabs>
          <w:tab w:val="left" w:pos="0"/>
        </w:tabs>
        <w:ind w:left="397" w:firstLine="128"/>
      </w:pPr>
      <w:rPr>
        <w:rFonts w:hint="eastAsia" w:eastAsia="仿宋_GB2312"/>
        <w:b w:val="0"/>
        <w:i w:val="0"/>
        <w:sz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00000039"/>
    <w:multiLevelType w:val="multilevel"/>
    <w:tmpl w:val="00000039"/>
    <w:lvl w:ilvl="0" w:tentative="0">
      <w:start w:val="24"/>
      <w:numFmt w:val="decimal"/>
      <w:lvlText w:val="%1."/>
      <w:lvlJc w:val="left"/>
      <w:pPr>
        <w:tabs>
          <w:tab w:val="left" w:pos="680"/>
        </w:tabs>
        <w:ind w:left="680" w:hanging="680"/>
      </w:pPr>
      <w:rPr>
        <w:rFonts w:hint="eastAsia" w:eastAsia="宋体"/>
        <w:b/>
        <w:i w:val="0"/>
        <w:sz w:val="24"/>
      </w:rPr>
    </w:lvl>
    <w:lvl w:ilvl="1" w:tentative="0">
      <w:start w:val="1"/>
      <w:numFmt w:val="decimal"/>
      <w:lvlText w:val="%1.%2"/>
      <w:lvlJc w:val="left"/>
      <w:pPr>
        <w:tabs>
          <w:tab w:val="left" w:pos="680"/>
        </w:tabs>
        <w:ind w:left="680" w:hanging="680"/>
      </w:pPr>
      <w:rPr>
        <w:rFonts w:hint="eastAsia" w:ascii="仿宋_GB2312" w:hAnsi="Times New Roman" w:eastAsia="仿宋_GB2312" w:cs="Times New Roman"/>
        <w:b w:val="0"/>
        <w:sz w:val="21"/>
        <w:szCs w:val="21"/>
      </w:rPr>
    </w:lvl>
    <w:lvl w:ilvl="2" w:tentative="0">
      <w:start w:val="1"/>
      <w:numFmt w:val="decimal"/>
      <w:lvlText w:val="%1.%2.%3"/>
      <w:lvlJc w:val="left"/>
      <w:pPr>
        <w:tabs>
          <w:tab w:val="left" w:pos="1146"/>
        </w:tabs>
        <w:ind w:left="1146"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28">
    <w:nsid w:val="0000003B"/>
    <w:multiLevelType w:val="multilevel"/>
    <w:tmpl w:val="0000003B"/>
    <w:lvl w:ilvl="0" w:tentative="0">
      <w:start w:val="19"/>
      <w:numFmt w:val="decimal"/>
      <w:lvlText w:val="%1."/>
      <w:lvlJc w:val="left"/>
      <w:pPr>
        <w:tabs>
          <w:tab w:val="left" w:pos="680"/>
        </w:tabs>
        <w:ind w:left="680" w:hanging="680"/>
      </w:pPr>
      <w:rPr>
        <w:rFonts w:hint="eastAsia" w:eastAsia="宋体"/>
        <w:b/>
        <w:i w:val="0"/>
        <w:sz w:val="24"/>
      </w:rPr>
    </w:lvl>
    <w:lvl w:ilvl="1" w:tentative="0">
      <w:start w:val="1"/>
      <w:numFmt w:val="decimal"/>
      <w:lvlText w:val="%1.%2"/>
      <w:lvlJc w:val="left"/>
      <w:pPr>
        <w:tabs>
          <w:tab w:val="left" w:pos="680"/>
        </w:tabs>
        <w:ind w:left="680" w:hanging="680"/>
      </w:pPr>
      <w:rPr>
        <w:rFonts w:hint="eastAsia" w:ascii="仿宋_GB2312" w:hAnsi="Times New Roman" w:eastAsia="仿宋_GB2312" w:cs="Times New Roman"/>
        <w:b w:val="0"/>
        <w:sz w:val="21"/>
        <w:szCs w:val="21"/>
      </w:rPr>
    </w:lvl>
    <w:lvl w:ilvl="2" w:tentative="0">
      <w:start w:val="1"/>
      <w:numFmt w:val="decimal"/>
      <w:lvlText w:val="%1.%2.%3"/>
      <w:lvlJc w:val="left"/>
      <w:pPr>
        <w:tabs>
          <w:tab w:val="left" w:pos="1146"/>
        </w:tabs>
        <w:ind w:left="1146"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29">
    <w:nsid w:val="0000003C"/>
    <w:multiLevelType w:val="multilevel"/>
    <w:tmpl w:val="0000003C"/>
    <w:lvl w:ilvl="0" w:tentative="0">
      <w:start w:val="7"/>
      <w:numFmt w:val="decimal"/>
      <w:lvlText w:val="%1."/>
      <w:lvlJc w:val="left"/>
      <w:pPr>
        <w:tabs>
          <w:tab w:val="left" w:pos="680"/>
        </w:tabs>
        <w:ind w:left="680" w:hanging="680"/>
      </w:pPr>
      <w:rPr>
        <w:rFonts w:hint="eastAsia" w:eastAsia="宋体"/>
        <w:b/>
        <w:i w:val="0"/>
        <w:sz w:val="24"/>
      </w:rPr>
    </w:lvl>
    <w:lvl w:ilvl="1" w:tentative="0">
      <w:start w:val="1"/>
      <w:numFmt w:val="decimal"/>
      <w:lvlText w:val="%1.%2"/>
      <w:lvlJc w:val="left"/>
      <w:pPr>
        <w:tabs>
          <w:tab w:val="left" w:pos="680"/>
        </w:tabs>
        <w:ind w:left="680" w:hanging="680"/>
      </w:pPr>
      <w:rPr>
        <w:rFonts w:hint="default" w:ascii="Times New Roman" w:hAnsi="Times New Roman" w:eastAsia="宋体" w:cs="Times New Roman"/>
        <w:b w:val="0"/>
        <w:sz w:val="21"/>
        <w:szCs w:val="21"/>
      </w:rPr>
    </w:lvl>
    <w:lvl w:ilvl="2" w:tentative="0">
      <w:start w:val="1"/>
      <w:numFmt w:val="decimal"/>
      <w:lvlText w:val="%1.%2.%3"/>
      <w:lvlJc w:val="left"/>
      <w:pPr>
        <w:tabs>
          <w:tab w:val="left" w:pos="1146"/>
        </w:tabs>
        <w:ind w:left="1146"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30">
    <w:nsid w:val="0000003D"/>
    <w:multiLevelType w:val="multilevel"/>
    <w:tmpl w:val="0000003D"/>
    <w:lvl w:ilvl="0" w:tentative="0">
      <w:start w:val="15"/>
      <w:numFmt w:val="decimal"/>
      <w:lvlText w:val="%1."/>
      <w:lvlJc w:val="left"/>
      <w:pPr>
        <w:tabs>
          <w:tab w:val="left" w:pos="680"/>
        </w:tabs>
        <w:ind w:left="680" w:hanging="680"/>
      </w:pPr>
      <w:rPr>
        <w:rFonts w:hint="eastAsia" w:eastAsia="宋体"/>
        <w:b/>
        <w:i w:val="0"/>
        <w:sz w:val="24"/>
      </w:rPr>
    </w:lvl>
    <w:lvl w:ilvl="1" w:tentative="0">
      <w:start w:val="1"/>
      <w:numFmt w:val="decimal"/>
      <w:lvlText w:val="%1.%2"/>
      <w:lvlJc w:val="left"/>
      <w:pPr>
        <w:tabs>
          <w:tab w:val="left" w:pos="680"/>
        </w:tabs>
        <w:ind w:left="680" w:hanging="680"/>
      </w:pPr>
      <w:rPr>
        <w:rFonts w:hint="eastAsia" w:ascii="仿宋_GB2312" w:hAnsi="Times New Roman" w:eastAsia="仿宋_GB2312" w:cs="Times New Roman"/>
        <w:b w:val="0"/>
        <w:sz w:val="21"/>
        <w:szCs w:val="21"/>
      </w:rPr>
    </w:lvl>
    <w:lvl w:ilvl="2" w:tentative="0">
      <w:start w:val="1"/>
      <w:numFmt w:val="decimal"/>
      <w:lvlText w:val="%1.%2.%3"/>
      <w:lvlJc w:val="left"/>
      <w:pPr>
        <w:tabs>
          <w:tab w:val="left" w:pos="1146"/>
        </w:tabs>
        <w:ind w:left="1146"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31">
    <w:nsid w:val="0000003E"/>
    <w:multiLevelType w:val="multilevel"/>
    <w:tmpl w:val="0000003E"/>
    <w:lvl w:ilvl="0" w:tentative="0">
      <w:start w:val="6"/>
      <w:numFmt w:val="decimal"/>
      <w:lvlText w:val="%1."/>
      <w:lvlJc w:val="left"/>
      <w:pPr>
        <w:tabs>
          <w:tab w:val="left" w:pos="680"/>
        </w:tabs>
        <w:ind w:left="680" w:hanging="680"/>
      </w:pPr>
      <w:rPr>
        <w:rFonts w:hint="eastAsia" w:eastAsia="宋体"/>
        <w:b/>
        <w:i w:val="0"/>
        <w:sz w:val="24"/>
      </w:rPr>
    </w:lvl>
    <w:lvl w:ilvl="1" w:tentative="0">
      <w:start w:val="1"/>
      <w:numFmt w:val="decimal"/>
      <w:lvlText w:val="%1.%2"/>
      <w:lvlJc w:val="left"/>
      <w:pPr>
        <w:tabs>
          <w:tab w:val="left" w:pos="680"/>
        </w:tabs>
        <w:ind w:left="680" w:hanging="680"/>
      </w:pPr>
      <w:rPr>
        <w:rFonts w:hint="eastAsia" w:ascii="仿宋_GB2312" w:hAnsi="Times New Roman" w:eastAsia="仿宋_GB2312" w:cs="Times New Roman"/>
        <w:b w:val="0"/>
        <w:sz w:val="21"/>
        <w:szCs w:val="21"/>
      </w:rPr>
    </w:lvl>
    <w:lvl w:ilvl="2" w:tentative="0">
      <w:start w:val="1"/>
      <w:numFmt w:val="decimal"/>
      <w:lvlText w:val="%1.%2.%3"/>
      <w:lvlJc w:val="left"/>
      <w:pPr>
        <w:tabs>
          <w:tab w:val="left" w:pos="1146"/>
        </w:tabs>
        <w:ind w:left="1146"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32">
    <w:nsid w:val="0000003F"/>
    <w:multiLevelType w:val="multilevel"/>
    <w:tmpl w:val="0000003F"/>
    <w:lvl w:ilvl="0" w:tentative="0">
      <w:start w:val="25"/>
      <w:numFmt w:val="decimal"/>
      <w:lvlText w:val="%1."/>
      <w:lvlJc w:val="left"/>
      <w:pPr>
        <w:tabs>
          <w:tab w:val="left" w:pos="680"/>
        </w:tabs>
        <w:ind w:left="680" w:hanging="680"/>
      </w:pPr>
      <w:rPr>
        <w:rFonts w:hint="eastAsia" w:eastAsia="宋体"/>
        <w:b/>
        <w:i w:val="0"/>
        <w:sz w:val="24"/>
      </w:rPr>
    </w:lvl>
    <w:lvl w:ilvl="1" w:tentative="0">
      <w:start w:val="1"/>
      <w:numFmt w:val="decimal"/>
      <w:lvlText w:val="%1.%2"/>
      <w:lvlJc w:val="left"/>
      <w:pPr>
        <w:tabs>
          <w:tab w:val="left" w:pos="680"/>
        </w:tabs>
        <w:ind w:left="680" w:hanging="680"/>
      </w:pPr>
      <w:rPr>
        <w:rFonts w:hint="eastAsia" w:ascii="仿宋_GB2312" w:hAnsi="Times New Roman" w:eastAsia="仿宋_GB2312" w:cs="Times New Roman"/>
        <w:b w:val="0"/>
        <w:sz w:val="21"/>
        <w:szCs w:val="21"/>
      </w:rPr>
    </w:lvl>
    <w:lvl w:ilvl="2" w:tentative="0">
      <w:start w:val="1"/>
      <w:numFmt w:val="decimal"/>
      <w:lvlText w:val="%1.%2.%3"/>
      <w:lvlJc w:val="left"/>
      <w:pPr>
        <w:tabs>
          <w:tab w:val="left" w:pos="1146"/>
        </w:tabs>
        <w:ind w:left="1146"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33">
    <w:nsid w:val="00000040"/>
    <w:multiLevelType w:val="multilevel"/>
    <w:tmpl w:val="00000040"/>
    <w:lvl w:ilvl="0" w:tentative="0">
      <w:start w:val="2"/>
      <w:numFmt w:val="decimal"/>
      <w:lvlText w:val="%1."/>
      <w:lvlJc w:val="left"/>
      <w:pPr>
        <w:tabs>
          <w:tab w:val="left" w:pos="680"/>
        </w:tabs>
        <w:ind w:left="680" w:hanging="680"/>
      </w:pPr>
      <w:rPr>
        <w:rFonts w:hint="eastAsia" w:eastAsia="宋体"/>
        <w:b/>
        <w:i w:val="0"/>
        <w:sz w:val="24"/>
      </w:rPr>
    </w:lvl>
    <w:lvl w:ilvl="1" w:tentative="0">
      <w:start w:val="1"/>
      <w:numFmt w:val="decimal"/>
      <w:lvlText w:val="%1.%2"/>
      <w:lvlJc w:val="left"/>
      <w:pPr>
        <w:tabs>
          <w:tab w:val="left" w:pos="680"/>
        </w:tabs>
        <w:ind w:left="680" w:hanging="680"/>
      </w:pPr>
      <w:rPr>
        <w:rFonts w:hint="eastAsia" w:ascii="仿宋_GB2312" w:hAnsi="Times New Roman" w:eastAsia="仿宋_GB2312" w:cs="Times New Roman"/>
        <w:b w:val="0"/>
        <w:sz w:val="21"/>
        <w:szCs w:val="21"/>
      </w:rPr>
    </w:lvl>
    <w:lvl w:ilvl="2" w:tentative="0">
      <w:start w:val="1"/>
      <w:numFmt w:val="decimal"/>
      <w:lvlText w:val="%1.%2.%3"/>
      <w:lvlJc w:val="left"/>
      <w:pPr>
        <w:tabs>
          <w:tab w:val="left" w:pos="1146"/>
        </w:tabs>
        <w:ind w:left="1146"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34">
    <w:nsid w:val="00000041"/>
    <w:multiLevelType w:val="multilevel"/>
    <w:tmpl w:val="00000041"/>
    <w:lvl w:ilvl="0" w:tentative="0">
      <w:start w:val="27"/>
      <w:numFmt w:val="decimal"/>
      <w:lvlText w:val="%1."/>
      <w:lvlJc w:val="left"/>
      <w:pPr>
        <w:tabs>
          <w:tab w:val="left" w:pos="680"/>
        </w:tabs>
        <w:ind w:left="680" w:hanging="680"/>
      </w:pPr>
      <w:rPr>
        <w:rFonts w:hint="eastAsia" w:eastAsia="宋体"/>
        <w:b/>
        <w:i w:val="0"/>
        <w:sz w:val="24"/>
      </w:rPr>
    </w:lvl>
    <w:lvl w:ilvl="1" w:tentative="0">
      <w:start w:val="1"/>
      <w:numFmt w:val="decimal"/>
      <w:lvlText w:val="%1.%2"/>
      <w:lvlJc w:val="left"/>
      <w:pPr>
        <w:tabs>
          <w:tab w:val="left" w:pos="680"/>
        </w:tabs>
        <w:ind w:left="680" w:hanging="680"/>
      </w:pPr>
      <w:rPr>
        <w:rFonts w:hint="eastAsia" w:ascii="仿宋_GB2312" w:hAnsi="Times New Roman" w:eastAsia="仿宋_GB2312" w:cs="Times New Roman"/>
        <w:b w:val="0"/>
        <w:sz w:val="21"/>
        <w:szCs w:val="21"/>
      </w:rPr>
    </w:lvl>
    <w:lvl w:ilvl="2" w:tentative="0">
      <w:start w:val="1"/>
      <w:numFmt w:val="decimal"/>
      <w:lvlText w:val="%1.%2.%3"/>
      <w:lvlJc w:val="left"/>
      <w:pPr>
        <w:tabs>
          <w:tab w:val="left" w:pos="1146"/>
        </w:tabs>
        <w:ind w:left="1146"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35">
    <w:nsid w:val="00000043"/>
    <w:multiLevelType w:val="multilevel"/>
    <w:tmpl w:val="00000043"/>
    <w:lvl w:ilvl="0" w:tentative="0">
      <w:start w:val="1"/>
      <w:numFmt w:val="decimal"/>
      <w:lvlText w:val="（%1）"/>
      <w:lvlJc w:val="left"/>
      <w:pPr>
        <w:tabs>
          <w:tab w:val="left" w:pos="0"/>
        </w:tabs>
        <w:ind w:left="624" w:hanging="511"/>
      </w:pPr>
      <w:rPr>
        <w:rFonts w:hint="eastAsia" w:eastAsia="仿宋_GB2312"/>
        <w:b w:val="0"/>
        <w:i w:val="0"/>
        <w:sz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6">
    <w:nsid w:val="00000044"/>
    <w:multiLevelType w:val="multilevel"/>
    <w:tmpl w:val="00000044"/>
    <w:lvl w:ilvl="0" w:tentative="0">
      <w:start w:val="9"/>
      <w:numFmt w:val="decimal"/>
      <w:lvlText w:val="%1."/>
      <w:lvlJc w:val="left"/>
      <w:pPr>
        <w:tabs>
          <w:tab w:val="left" w:pos="680"/>
        </w:tabs>
        <w:ind w:left="680" w:hanging="680"/>
      </w:pPr>
      <w:rPr>
        <w:rFonts w:hint="eastAsia" w:eastAsia="宋体"/>
        <w:b/>
        <w:i w:val="0"/>
        <w:sz w:val="24"/>
      </w:rPr>
    </w:lvl>
    <w:lvl w:ilvl="1" w:tentative="0">
      <w:start w:val="1"/>
      <w:numFmt w:val="decimal"/>
      <w:lvlText w:val="%1.%2"/>
      <w:lvlJc w:val="left"/>
      <w:pPr>
        <w:tabs>
          <w:tab w:val="left" w:pos="680"/>
        </w:tabs>
        <w:ind w:left="680" w:hanging="680"/>
      </w:pPr>
      <w:rPr>
        <w:rFonts w:hint="eastAsia" w:ascii="仿宋_GB2312" w:hAnsi="Times New Roman" w:eastAsia="仿宋_GB2312" w:cs="Times New Roman"/>
        <w:b w:val="0"/>
        <w:sz w:val="21"/>
        <w:szCs w:val="21"/>
      </w:rPr>
    </w:lvl>
    <w:lvl w:ilvl="2" w:tentative="0">
      <w:start w:val="1"/>
      <w:numFmt w:val="decimal"/>
      <w:lvlText w:val="%1.%2.%3"/>
      <w:lvlJc w:val="left"/>
      <w:pPr>
        <w:tabs>
          <w:tab w:val="left" w:pos="1146"/>
        </w:tabs>
        <w:ind w:left="1146"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37">
    <w:nsid w:val="00000045"/>
    <w:multiLevelType w:val="multilevel"/>
    <w:tmpl w:val="00000045"/>
    <w:lvl w:ilvl="0" w:tentative="0">
      <w:start w:val="4"/>
      <w:numFmt w:val="decimal"/>
      <w:lvlText w:val="%1."/>
      <w:lvlJc w:val="left"/>
      <w:pPr>
        <w:tabs>
          <w:tab w:val="left" w:pos="680"/>
        </w:tabs>
        <w:ind w:left="680" w:hanging="680"/>
      </w:pPr>
      <w:rPr>
        <w:rFonts w:hint="eastAsia" w:eastAsia="宋体"/>
        <w:b/>
        <w:i w:val="0"/>
        <w:sz w:val="24"/>
      </w:rPr>
    </w:lvl>
    <w:lvl w:ilvl="1" w:tentative="0">
      <w:start w:val="1"/>
      <w:numFmt w:val="decimal"/>
      <w:lvlText w:val="%1.%2"/>
      <w:lvlJc w:val="left"/>
      <w:pPr>
        <w:tabs>
          <w:tab w:val="left" w:pos="680"/>
        </w:tabs>
        <w:ind w:left="680" w:hanging="680"/>
      </w:pPr>
      <w:rPr>
        <w:rFonts w:hint="eastAsia" w:ascii="仿宋_GB2312" w:hAnsi="Times New Roman" w:eastAsia="仿宋_GB2312" w:cs="Times New Roman"/>
        <w:b w:val="0"/>
        <w:sz w:val="21"/>
        <w:szCs w:val="21"/>
      </w:rPr>
    </w:lvl>
    <w:lvl w:ilvl="2" w:tentative="0">
      <w:start w:val="1"/>
      <w:numFmt w:val="decimal"/>
      <w:lvlText w:val="%1.%2.%3"/>
      <w:lvlJc w:val="left"/>
      <w:pPr>
        <w:tabs>
          <w:tab w:val="left" w:pos="1146"/>
        </w:tabs>
        <w:ind w:left="1146"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38">
    <w:nsid w:val="00000046"/>
    <w:multiLevelType w:val="multilevel"/>
    <w:tmpl w:val="00000046"/>
    <w:lvl w:ilvl="0" w:tentative="0">
      <w:start w:val="1"/>
      <w:numFmt w:val="chineseCountingThousand"/>
      <w:lvlText w:val="第%1章  "/>
      <w:lvlJc w:val="left"/>
      <w:pPr>
        <w:tabs>
          <w:tab w:val="left" w:pos="680"/>
        </w:tabs>
        <w:ind w:left="0" w:firstLine="680"/>
      </w:pPr>
      <w:rPr>
        <w:rFonts w:hint="eastAsia" w:eastAsia="宋体"/>
        <w:b w:val="0"/>
        <w:i w:val="0"/>
        <w:sz w:val="24"/>
      </w:rPr>
    </w:lvl>
    <w:lvl w:ilvl="1" w:tentative="0">
      <w:start w:val="1"/>
      <w:numFmt w:val="lowerLetter"/>
      <w:lvlText w:val="%2)"/>
      <w:lvlJc w:val="left"/>
      <w:pPr>
        <w:tabs>
          <w:tab w:val="left" w:pos="840"/>
        </w:tabs>
        <w:ind w:left="840" w:hanging="420"/>
      </w:pPr>
    </w:lvl>
    <w:lvl w:ilvl="2" w:tentative="0">
      <w:start w:val="1"/>
      <w:numFmt w:val="chineseCountingThousand"/>
      <w:lvlText w:val="第%3章  "/>
      <w:lvlJc w:val="left"/>
      <w:pPr>
        <w:tabs>
          <w:tab w:val="left" w:pos="0"/>
        </w:tabs>
        <w:ind w:left="0" w:firstLine="680"/>
      </w:pPr>
      <w:rPr>
        <w:rFonts w:hint="eastAsia" w:ascii="仿宋_GB2312" w:eastAsia="仿宋_GB2312"/>
        <w:b w:val="0"/>
        <w:i w:val="0"/>
        <w:sz w:val="21"/>
        <w:szCs w:val="21"/>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9">
    <w:nsid w:val="00000047"/>
    <w:multiLevelType w:val="multilevel"/>
    <w:tmpl w:val="00000047"/>
    <w:lvl w:ilvl="0" w:tentative="0">
      <w:start w:val="1"/>
      <w:numFmt w:val="decimal"/>
      <w:lvlText w:val="（%1）"/>
      <w:lvlJc w:val="left"/>
      <w:pPr>
        <w:tabs>
          <w:tab w:val="left" w:pos="0"/>
        </w:tabs>
        <w:ind w:left="624" w:hanging="511"/>
      </w:pPr>
      <w:rPr>
        <w:rFonts w:hint="eastAsia" w:eastAsia="仿宋_GB2312"/>
        <w:b w:val="0"/>
        <w:i w:val="0"/>
        <w:sz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0">
    <w:nsid w:val="00000049"/>
    <w:multiLevelType w:val="multilevel"/>
    <w:tmpl w:val="00000049"/>
    <w:lvl w:ilvl="0" w:tentative="0">
      <w:start w:val="1"/>
      <w:numFmt w:val="chineseCountingThousand"/>
      <w:lvlText w:val="第%1部分"/>
      <w:legacy w:legacy="1" w:legacySpace="0" w:legacyIndent="0"/>
      <w:lvlJc w:val="center"/>
    </w:lvl>
    <w:lvl w:ilvl="1" w:tentative="0">
      <w:start w:val="1"/>
      <w:numFmt w:val="none"/>
      <w:pStyle w:val="3"/>
      <w:suff w:val="nothing"/>
      <w:lvlText w:val=""/>
      <w:lvlJc w:val="left"/>
    </w:lvl>
    <w:lvl w:ilvl="2" w:tentative="0">
      <w:start w:val="1"/>
      <w:numFmt w:val="none"/>
      <w:suff w:val="nothing"/>
      <w:lvlText w:val=""/>
      <w:lvlJc w:val="left"/>
    </w:lvl>
    <w:lvl w:ilvl="3" w:tentative="0">
      <w:start w:val="1"/>
      <w:numFmt w:val="none"/>
      <w:suff w:val="nothing"/>
      <w:lvlText w:val=""/>
      <w:lvlJc w:val="left"/>
    </w:lvl>
    <w:lvl w:ilvl="4" w:tentative="0">
      <w:start w:val="1"/>
      <w:numFmt w:val="none"/>
      <w:suff w:val="nothing"/>
      <w:lvlText w:val=""/>
      <w:lvlJc w:val="left"/>
    </w:lvl>
    <w:lvl w:ilvl="5" w:tentative="0">
      <w:start w:val="1"/>
      <w:numFmt w:val="none"/>
      <w:suff w:val="nothing"/>
      <w:lvlText w:val=""/>
      <w:lvlJc w:val="left"/>
    </w:lvl>
    <w:lvl w:ilvl="6" w:tentative="0">
      <w:start w:val="1"/>
      <w:numFmt w:val="none"/>
      <w:suff w:val="nothing"/>
      <w:lvlText w:val=""/>
      <w:lvlJc w:val="left"/>
    </w:lvl>
    <w:lvl w:ilvl="7" w:tentative="0">
      <w:start w:val="1"/>
      <w:numFmt w:val="none"/>
      <w:suff w:val="nothing"/>
      <w:lvlText w:val=""/>
      <w:lvlJc w:val="left"/>
    </w:lvl>
    <w:lvl w:ilvl="8" w:tentative="0">
      <w:start w:val="1"/>
      <w:numFmt w:val="none"/>
      <w:suff w:val="nothing"/>
      <w:lvlText w:val=""/>
      <w:lvlJc w:val="left"/>
    </w:lvl>
  </w:abstractNum>
  <w:abstractNum w:abstractNumId="41">
    <w:nsid w:val="0000004A"/>
    <w:multiLevelType w:val="multilevel"/>
    <w:tmpl w:val="0000004A"/>
    <w:lvl w:ilvl="0" w:tentative="0">
      <w:start w:val="1"/>
      <w:numFmt w:val="chineseCountingThousand"/>
      <w:lvlText w:val="%1、"/>
      <w:lvlJc w:val="left"/>
      <w:pPr>
        <w:tabs>
          <w:tab w:val="left" w:pos="0"/>
        </w:tabs>
        <w:ind w:left="0" w:firstLine="0"/>
      </w:pPr>
      <w:rPr>
        <w:rFonts w:hint="eastAsia" w:ascii="宋体" w:hAnsi="宋体" w:eastAsia="宋体"/>
        <w:b/>
        <w:i w:val="0"/>
        <w:sz w:val="30"/>
      </w:rPr>
    </w:lvl>
    <w:lvl w:ilvl="1" w:tentative="0">
      <w:start w:val="1"/>
      <w:numFmt w:val="decimal"/>
      <w:lvlText w:val="%2."/>
      <w:lvlJc w:val="left"/>
      <w:pPr>
        <w:tabs>
          <w:tab w:val="left" w:pos="680"/>
        </w:tabs>
        <w:ind w:left="0" w:firstLine="0"/>
      </w:pPr>
      <w:rPr>
        <w:rFonts w:hint="eastAsia" w:eastAsia="宋体"/>
        <w:b/>
        <w:i w:val="0"/>
        <w:sz w:val="24"/>
      </w:rPr>
    </w:lvl>
    <w:lvl w:ilvl="2" w:tentative="0">
      <w:start w:val="1"/>
      <w:numFmt w:val="japaneseCounting"/>
      <w:lvlText w:val="第%3章"/>
      <w:lvlJc w:val="left"/>
      <w:pPr>
        <w:tabs>
          <w:tab w:val="left" w:pos="1800"/>
        </w:tabs>
        <w:ind w:left="1800" w:hanging="96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2">
    <w:nsid w:val="0000004E"/>
    <w:multiLevelType w:val="multilevel"/>
    <w:tmpl w:val="0000004E"/>
    <w:lvl w:ilvl="0" w:tentative="0">
      <w:start w:val="10"/>
      <w:numFmt w:val="decimal"/>
      <w:lvlText w:val="%1."/>
      <w:lvlJc w:val="left"/>
      <w:pPr>
        <w:tabs>
          <w:tab w:val="left" w:pos="680"/>
        </w:tabs>
        <w:ind w:left="680" w:hanging="680"/>
      </w:pPr>
      <w:rPr>
        <w:rFonts w:hint="eastAsia" w:eastAsia="宋体"/>
        <w:b/>
        <w:i w:val="0"/>
        <w:sz w:val="24"/>
      </w:rPr>
    </w:lvl>
    <w:lvl w:ilvl="1" w:tentative="0">
      <w:start w:val="1"/>
      <w:numFmt w:val="decimal"/>
      <w:lvlText w:val="%1.%2"/>
      <w:lvlJc w:val="left"/>
      <w:pPr>
        <w:tabs>
          <w:tab w:val="left" w:pos="680"/>
        </w:tabs>
        <w:ind w:left="680" w:hanging="680"/>
      </w:pPr>
      <w:rPr>
        <w:rFonts w:hint="eastAsia" w:ascii="仿宋_GB2312" w:hAnsi="Times New Roman" w:eastAsia="仿宋_GB2312" w:cs="Times New Roman"/>
        <w:b w:val="0"/>
        <w:sz w:val="21"/>
        <w:szCs w:val="21"/>
      </w:rPr>
    </w:lvl>
    <w:lvl w:ilvl="2" w:tentative="0">
      <w:start w:val="1"/>
      <w:numFmt w:val="decimal"/>
      <w:lvlText w:val="%1.%2.%3"/>
      <w:lvlJc w:val="left"/>
      <w:pPr>
        <w:tabs>
          <w:tab w:val="left" w:pos="1146"/>
        </w:tabs>
        <w:ind w:left="1146"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43">
    <w:nsid w:val="0000004F"/>
    <w:multiLevelType w:val="multilevel"/>
    <w:tmpl w:val="0000004F"/>
    <w:lvl w:ilvl="0" w:tentative="0">
      <w:start w:val="5"/>
      <w:numFmt w:val="decimal"/>
      <w:lvlText w:val="%1."/>
      <w:lvlJc w:val="left"/>
      <w:pPr>
        <w:tabs>
          <w:tab w:val="left" w:pos="680"/>
        </w:tabs>
        <w:ind w:left="680" w:hanging="680"/>
      </w:pPr>
      <w:rPr>
        <w:rFonts w:hint="eastAsia" w:eastAsia="宋体"/>
        <w:b/>
        <w:i w:val="0"/>
        <w:sz w:val="24"/>
      </w:rPr>
    </w:lvl>
    <w:lvl w:ilvl="1" w:tentative="0">
      <w:start w:val="1"/>
      <w:numFmt w:val="decimal"/>
      <w:lvlText w:val="%1.%2"/>
      <w:lvlJc w:val="left"/>
      <w:pPr>
        <w:tabs>
          <w:tab w:val="left" w:pos="680"/>
        </w:tabs>
        <w:ind w:left="680" w:hanging="680"/>
      </w:pPr>
      <w:rPr>
        <w:rFonts w:hint="eastAsia" w:ascii="仿宋_GB2312" w:hAnsi="Times New Roman" w:eastAsia="仿宋_GB2312" w:cs="Times New Roman"/>
        <w:b w:val="0"/>
        <w:sz w:val="21"/>
        <w:szCs w:val="21"/>
      </w:rPr>
    </w:lvl>
    <w:lvl w:ilvl="2" w:tentative="0">
      <w:start w:val="1"/>
      <w:numFmt w:val="decimal"/>
      <w:lvlText w:val="%1.%2.%3"/>
      <w:lvlJc w:val="left"/>
      <w:pPr>
        <w:tabs>
          <w:tab w:val="left" w:pos="1146"/>
        </w:tabs>
        <w:ind w:left="1146"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44">
    <w:nsid w:val="00000051"/>
    <w:multiLevelType w:val="multilevel"/>
    <w:tmpl w:val="00000051"/>
    <w:lvl w:ilvl="0" w:tentative="0">
      <w:start w:val="31"/>
      <w:numFmt w:val="decimal"/>
      <w:lvlText w:val="%1."/>
      <w:lvlJc w:val="left"/>
      <w:pPr>
        <w:tabs>
          <w:tab w:val="left" w:pos="680"/>
        </w:tabs>
        <w:ind w:left="680" w:hanging="680"/>
      </w:pPr>
      <w:rPr>
        <w:rFonts w:hint="eastAsia" w:eastAsia="宋体"/>
        <w:b/>
        <w:i w:val="0"/>
        <w:sz w:val="24"/>
      </w:rPr>
    </w:lvl>
    <w:lvl w:ilvl="1" w:tentative="0">
      <w:start w:val="1"/>
      <w:numFmt w:val="decimal"/>
      <w:lvlText w:val="%1.%2"/>
      <w:lvlJc w:val="left"/>
      <w:pPr>
        <w:tabs>
          <w:tab w:val="left" w:pos="680"/>
        </w:tabs>
        <w:ind w:left="680" w:hanging="680"/>
      </w:pPr>
      <w:rPr>
        <w:rFonts w:hint="eastAsia" w:ascii="仿宋_GB2312" w:hAnsi="Times New Roman" w:eastAsia="仿宋_GB2312" w:cs="Times New Roman"/>
        <w:b w:val="0"/>
        <w:sz w:val="21"/>
        <w:szCs w:val="21"/>
      </w:rPr>
    </w:lvl>
    <w:lvl w:ilvl="2" w:tentative="0">
      <w:start w:val="1"/>
      <w:numFmt w:val="decimal"/>
      <w:lvlText w:val="%1.%2.%3"/>
      <w:lvlJc w:val="left"/>
      <w:pPr>
        <w:tabs>
          <w:tab w:val="left" w:pos="1146"/>
        </w:tabs>
        <w:ind w:left="1146"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45">
    <w:nsid w:val="00000053"/>
    <w:multiLevelType w:val="multilevel"/>
    <w:tmpl w:val="00000053"/>
    <w:lvl w:ilvl="0" w:tentative="0">
      <w:start w:val="23"/>
      <w:numFmt w:val="decimal"/>
      <w:lvlText w:val="%1."/>
      <w:lvlJc w:val="left"/>
      <w:pPr>
        <w:tabs>
          <w:tab w:val="left" w:pos="680"/>
        </w:tabs>
        <w:ind w:left="680" w:hanging="680"/>
      </w:pPr>
      <w:rPr>
        <w:rFonts w:hint="eastAsia" w:eastAsia="宋体"/>
        <w:b/>
        <w:i w:val="0"/>
        <w:sz w:val="24"/>
      </w:rPr>
    </w:lvl>
    <w:lvl w:ilvl="1" w:tentative="0">
      <w:start w:val="1"/>
      <w:numFmt w:val="decimal"/>
      <w:lvlText w:val="%1.%2"/>
      <w:lvlJc w:val="left"/>
      <w:pPr>
        <w:tabs>
          <w:tab w:val="left" w:pos="680"/>
        </w:tabs>
        <w:ind w:left="680" w:hanging="680"/>
      </w:pPr>
      <w:rPr>
        <w:rFonts w:hint="eastAsia" w:ascii="仿宋_GB2312" w:hAnsi="Times New Roman" w:eastAsia="仿宋_GB2312" w:cs="Times New Roman"/>
        <w:b w:val="0"/>
        <w:sz w:val="21"/>
        <w:szCs w:val="21"/>
      </w:rPr>
    </w:lvl>
    <w:lvl w:ilvl="2" w:tentative="0">
      <w:start w:val="1"/>
      <w:numFmt w:val="decimal"/>
      <w:lvlText w:val="%1.%2.%3"/>
      <w:lvlJc w:val="left"/>
      <w:pPr>
        <w:tabs>
          <w:tab w:val="left" w:pos="1146"/>
        </w:tabs>
        <w:ind w:left="1146"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46">
    <w:nsid w:val="00000055"/>
    <w:multiLevelType w:val="multilevel"/>
    <w:tmpl w:val="00000055"/>
    <w:lvl w:ilvl="0" w:tentative="0">
      <w:start w:val="34"/>
      <w:numFmt w:val="decimal"/>
      <w:lvlText w:val="%1."/>
      <w:lvlJc w:val="left"/>
      <w:pPr>
        <w:tabs>
          <w:tab w:val="left" w:pos="680"/>
        </w:tabs>
        <w:ind w:left="680" w:hanging="680"/>
      </w:pPr>
      <w:rPr>
        <w:rFonts w:hint="eastAsia" w:eastAsia="宋体"/>
        <w:b/>
        <w:i w:val="0"/>
        <w:sz w:val="24"/>
      </w:rPr>
    </w:lvl>
    <w:lvl w:ilvl="1" w:tentative="0">
      <w:start w:val="1"/>
      <w:numFmt w:val="decimal"/>
      <w:lvlText w:val="%1.%2"/>
      <w:lvlJc w:val="left"/>
      <w:pPr>
        <w:tabs>
          <w:tab w:val="left" w:pos="680"/>
        </w:tabs>
        <w:ind w:left="680" w:hanging="680"/>
      </w:pPr>
      <w:rPr>
        <w:rFonts w:hint="eastAsia" w:ascii="仿宋_GB2312" w:hAnsi="Times New Roman" w:eastAsia="仿宋_GB2312" w:cs="Times New Roman"/>
        <w:b w:val="0"/>
        <w:sz w:val="21"/>
        <w:szCs w:val="21"/>
      </w:rPr>
    </w:lvl>
    <w:lvl w:ilvl="2" w:tentative="0">
      <w:start w:val="1"/>
      <w:numFmt w:val="decimal"/>
      <w:lvlText w:val="%1.%2.%3"/>
      <w:lvlJc w:val="left"/>
      <w:pPr>
        <w:tabs>
          <w:tab w:val="left" w:pos="1146"/>
        </w:tabs>
        <w:ind w:left="1146"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47">
    <w:nsid w:val="00000056"/>
    <w:multiLevelType w:val="multilevel"/>
    <w:tmpl w:val="00000056"/>
    <w:lvl w:ilvl="0" w:tentative="0">
      <w:start w:val="12"/>
      <w:numFmt w:val="decimal"/>
      <w:lvlText w:val="%1."/>
      <w:lvlJc w:val="left"/>
      <w:pPr>
        <w:tabs>
          <w:tab w:val="left" w:pos="680"/>
        </w:tabs>
        <w:ind w:left="680" w:hanging="680"/>
      </w:pPr>
      <w:rPr>
        <w:rFonts w:hint="eastAsia" w:eastAsia="宋体"/>
        <w:b/>
        <w:i w:val="0"/>
        <w:sz w:val="24"/>
      </w:rPr>
    </w:lvl>
    <w:lvl w:ilvl="1" w:tentative="0">
      <w:start w:val="1"/>
      <w:numFmt w:val="decimal"/>
      <w:lvlText w:val="%1.%2"/>
      <w:lvlJc w:val="left"/>
      <w:pPr>
        <w:tabs>
          <w:tab w:val="left" w:pos="680"/>
        </w:tabs>
        <w:ind w:left="680" w:hanging="680"/>
      </w:pPr>
      <w:rPr>
        <w:rFonts w:hint="eastAsia" w:ascii="仿宋_GB2312" w:hAnsi="Times New Roman" w:eastAsia="仿宋_GB2312" w:cs="Times New Roman"/>
        <w:b w:val="0"/>
        <w:sz w:val="21"/>
        <w:szCs w:val="21"/>
      </w:rPr>
    </w:lvl>
    <w:lvl w:ilvl="2" w:tentative="0">
      <w:start w:val="1"/>
      <w:numFmt w:val="decimal"/>
      <w:lvlText w:val="%1.%2.%3"/>
      <w:lvlJc w:val="left"/>
      <w:pPr>
        <w:tabs>
          <w:tab w:val="left" w:pos="1146"/>
        </w:tabs>
        <w:ind w:left="1146"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48">
    <w:nsid w:val="00000057"/>
    <w:multiLevelType w:val="multilevel"/>
    <w:tmpl w:val="00000057"/>
    <w:lvl w:ilvl="0" w:tentative="0">
      <w:start w:val="1"/>
      <w:numFmt w:val="decimal"/>
      <w:lvlText w:val="（%1）"/>
      <w:lvlJc w:val="left"/>
      <w:pPr>
        <w:tabs>
          <w:tab w:val="left" w:pos="0"/>
        </w:tabs>
        <w:ind w:left="624" w:hanging="511"/>
      </w:pPr>
      <w:rPr>
        <w:rFonts w:hint="eastAsia" w:eastAsia="仿宋_GB2312"/>
        <w:b w:val="0"/>
        <w:i w:val="0"/>
        <w:sz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9">
    <w:nsid w:val="00000058"/>
    <w:multiLevelType w:val="multilevel"/>
    <w:tmpl w:val="00000058"/>
    <w:lvl w:ilvl="0" w:tentative="0">
      <w:start w:val="1"/>
      <w:numFmt w:val="decimal"/>
      <w:lvlText w:val="（%1）"/>
      <w:lvlJc w:val="left"/>
      <w:pPr>
        <w:tabs>
          <w:tab w:val="left" w:pos="0"/>
        </w:tabs>
        <w:ind w:left="624" w:hanging="511"/>
      </w:pPr>
      <w:rPr>
        <w:rFonts w:hint="eastAsia" w:eastAsia="仿宋_GB2312"/>
        <w:b w:val="0"/>
        <w:i w:val="0"/>
        <w:sz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0">
    <w:nsid w:val="0000005A"/>
    <w:multiLevelType w:val="multilevel"/>
    <w:tmpl w:val="0000005A"/>
    <w:lvl w:ilvl="0" w:tentative="0">
      <w:start w:val="8"/>
      <w:numFmt w:val="decimal"/>
      <w:lvlText w:val="%1."/>
      <w:lvlJc w:val="left"/>
      <w:pPr>
        <w:tabs>
          <w:tab w:val="left" w:pos="680"/>
        </w:tabs>
        <w:ind w:left="680" w:hanging="680"/>
      </w:pPr>
      <w:rPr>
        <w:rFonts w:hint="eastAsia" w:eastAsia="宋体"/>
        <w:b/>
        <w:i w:val="0"/>
        <w:sz w:val="24"/>
      </w:rPr>
    </w:lvl>
    <w:lvl w:ilvl="1" w:tentative="0">
      <w:start w:val="1"/>
      <w:numFmt w:val="decimal"/>
      <w:lvlText w:val="%1.%2"/>
      <w:lvlJc w:val="left"/>
      <w:pPr>
        <w:tabs>
          <w:tab w:val="left" w:pos="680"/>
        </w:tabs>
        <w:ind w:left="680" w:hanging="680"/>
      </w:pPr>
      <w:rPr>
        <w:rFonts w:hint="eastAsia" w:ascii="仿宋_GB2312" w:hAnsi="Times New Roman" w:eastAsia="仿宋_GB2312" w:cs="Times New Roman"/>
        <w:b w:val="0"/>
        <w:sz w:val="21"/>
        <w:szCs w:val="21"/>
      </w:rPr>
    </w:lvl>
    <w:lvl w:ilvl="2" w:tentative="0">
      <w:start w:val="1"/>
      <w:numFmt w:val="decimal"/>
      <w:lvlText w:val="%1.%2.%3"/>
      <w:lvlJc w:val="left"/>
      <w:pPr>
        <w:tabs>
          <w:tab w:val="left" w:pos="1146"/>
        </w:tabs>
        <w:ind w:left="1146"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51">
    <w:nsid w:val="0000005B"/>
    <w:multiLevelType w:val="multilevel"/>
    <w:tmpl w:val="0000005B"/>
    <w:lvl w:ilvl="0" w:tentative="0">
      <w:start w:val="1"/>
      <w:numFmt w:val="decimal"/>
      <w:lvlText w:val="%1."/>
      <w:lvlJc w:val="left"/>
      <w:pPr>
        <w:tabs>
          <w:tab w:val="left" w:pos="680"/>
        </w:tabs>
        <w:ind w:left="680" w:hanging="680"/>
      </w:pPr>
      <w:rPr>
        <w:rFonts w:hint="eastAsia" w:eastAsia="宋体"/>
        <w:b/>
        <w:i w:val="0"/>
        <w:color w:val="auto"/>
        <w:sz w:val="24"/>
      </w:rPr>
    </w:lvl>
    <w:lvl w:ilvl="1" w:tentative="0">
      <w:start w:val="1"/>
      <w:numFmt w:val="decimal"/>
      <w:lvlText w:val="%2."/>
      <w:lvlJc w:val="left"/>
      <w:pPr>
        <w:tabs>
          <w:tab w:val="left" w:pos="680"/>
        </w:tabs>
        <w:ind w:left="680" w:hanging="680"/>
      </w:pPr>
      <w:rPr>
        <w:rFonts w:hint="eastAsia" w:eastAsia="宋体"/>
        <w:b/>
        <w:i w:val="0"/>
        <w:sz w:val="24"/>
      </w:rPr>
    </w:lvl>
    <w:lvl w:ilvl="2" w:tentative="0">
      <w:start w:val="1"/>
      <w:numFmt w:val="decimal"/>
      <w:lvlText w:val="%1.%2.%3"/>
      <w:lvlJc w:val="left"/>
      <w:pPr>
        <w:tabs>
          <w:tab w:val="left" w:pos="1146"/>
        </w:tabs>
        <w:ind w:left="1146"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52">
    <w:nsid w:val="0000005C"/>
    <w:multiLevelType w:val="multilevel"/>
    <w:tmpl w:val="0000005C"/>
    <w:lvl w:ilvl="0" w:tentative="0">
      <w:start w:val="1"/>
      <w:numFmt w:val="decimal"/>
      <w:lvlText w:val="%1."/>
      <w:lvlJc w:val="left"/>
      <w:pPr>
        <w:tabs>
          <w:tab w:val="left" w:pos="680"/>
        </w:tabs>
        <w:ind w:left="680" w:hanging="680"/>
      </w:pPr>
      <w:rPr>
        <w:rFonts w:hint="eastAsia" w:eastAsia="宋体"/>
        <w:b/>
        <w:i w:val="0"/>
        <w:sz w:val="24"/>
      </w:rPr>
    </w:lvl>
    <w:lvl w:ilvl="1" w:tentative="0">
      <w:start w:val="1"/>
      <w:numFmt w:val="decimal"/>
      <w:lvlText w:val="%1.%2"/>
      <w:lvlJc w:val="left"/>
      <w:pPr>
        <w:tabs>
          <w:tab w:val="left" w:pos="680"/>
        </w:tabs>
        <w:ind w:left="680" w:hanging="680"/>
      </w:pPr>
      <w:rPr>
        <w:rFonts w:hint="eastAsia" w:ascii="仿宋_GB2312" w:hAnsi="Times New Roman" w:eastAsia="仿宋_GB2312" w:cs="Times New Roman"/>
        <w:b w:val="0"/>
        <w:sz w:val="21"/>
        <w:szCs w:val="21"/>
      </w:rPr>
    </w:lvl>
    <w:lvl w:ilvl="2" w:tentative="0">
      <w:start w:val="1"/>
      <w:numFmt w:val="decimal"/>
      <w:lvlText w:val="%1.%2.%3"/>
      <w:lvlJc w:val="left"/>
      <w:pPr>
        <w:tabs>
          <w:tab w:val="left" w:pos="1146"/>
        </w:tabs>
        <w:ind w:left="1146"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53">
    <w:nsid w:val="00000063"/>
    <w:multiLevelType w:val="multilevel"/>
    <w:tmpl w:val="00000063"/>
    <w:lvl w:ilvl="0" w:tentative="0">
      <w:start w:val="1"/>
      <w:numFmt w:val="decimal"/>
      <w:lvlText w:val="（%1）"/>
      <w:lvlJc w:val="left"/>
      <w:pPr>
        <w:tabs>
          <w:tab w:val="left" w:pos="0"/>
        </w:tabs>
        <w:ind w:left="624" w:hanging="511"/>
      </w:pPr>
      <w:rPr>
        <w:rFonts w:hint="eastAsia" w:eastAsia="仿宋_GB2312"/>
        <w:b w:val="0"/>
        <w:i w:val="0"/>
        <w:sz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4">
    <w:nsid w:val="00000067"/>
    <w:multiLevelType w:val="multilevel"/>
    <w:tmpl w:val="00000067"/>
    <w:lvl w:ilvl="0" w:tentative="0">
      <w:start w:val="1"/>
      <w:numFmt w:val="decimal"/>
      <w:lvlText w:val="（%1）"/>
      <w:lvlJc w:val="left"/>
      <w:pPr>
        <w:tabs>
          <w:tab w:val="left" w:pos="0"/>
        </w:tabs>
        <w:ind w:left="624" w:hanging="511"/>
      </w:pPr>
      <w:rPr>
        <w:rFonts w:hint="eastAsia" w:eastAsia="仿宋_GB2312"/>
        <w:b w:val="0"/>
        <w:i w:val="0"/>
        <w:sz w:val="21"/>
      </w:rPr>
    </w:lvl>
    <w:lvl w:ilvl="1" w:tentative="0">
      <w:start w:val="2"/>
      <w:numFmt w:val="japaneseCounting"/>
      <w:lvlText w:val="%2、"/>
      <w:lvlJc w:val="left"/>
      <w:pPr>
        <w:tabs>
          <w:tab w:val="left" w:pos="1140"/>
        </w:tabs>
        <w:ind w:left="11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5">
    <w:nsid w:val="00000069"/>
    <w:multiLevelType w:val="multilevel"/>
    <w:tmpl w:val="00000069"/>
    <w:lvl w:ilvl="0" w:tentative="0">
      <w:start w:val="1"/>
      <w:numFmt w:val="decimal"/>
      <w:lvlText w:val="（%1）"/>
      <w:lvlJc w:val="left"/>
      <w:pPr>
        <w:tabs>
          <w:tab w:val="left" w:pos="0"/>
        </w:tabs>
        <w:ind w:left="624" w:hanging="511"/>
      </w:pPr>
      <w:rPr>
        <w:rFonts w:hint="eastAsia" w:eastAsia="仿宋_GB2312"/>
        <w:b w:val="0"/>
        <w:i w:val="0"/>
        <w:sz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6">
    <w:nsid w:val="0000006A"/>
    <w:multiLevelType w:val="multilevel"/>
    <w:tmpl w:val="0000006A"/>
    <w:lvl w:ilvl="0" w:tentative="0">
      <w:start w:val="1"/>
      <w:numFmt w:val="decimal"/>
      <w:lvlText w:val="（%1）"/>
      <w:lvlJc w:val="left"/>
      <w:pPr>
        <w:tabs>
          <w:tab w:val="left" w:pos="0"/>
        </w:tabs>
        <w:ind w:left="624" w:hanging="511"/>
      </w:pPr>
      <w:rPr>
        <w:rFonts w:hint="eastAsia" w:eastAsia="仿宋_GB2312"/>
        <w:b w:val="0"/>
        <w:i w:val="0"/>
        <w:sz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7">
    <w:nsid w:val="0000006B"/>
    <w:multiLevelType w:val="multilevel"/>
    <w:tmpl w:val="0000006B"/>
    <w:lvl w:ilvl="0" w:tentative="0">
      <w:start w:val="1"/>
      <w:numFmt w:val="decimal"/>
      <w:lvlText w:val="（%1）"/>
      <w:lvlJc w:val="left"/>
      <w:pPr>
        <w:tabs>
          <w:tab w:val="left" w:pos="0"/>
        </w:tabs>
        <w:ind w:left="624" w:hanging="511"/>
      </w:pPr>
      <w:rPr>
        <w:rFonts w:hint="eastAsia" w:eastAsia="仿宋_GB2312"/>
        <w:b w:val="0"/>
        <w:i w:val="0"/>
        <w:sz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8">
    <w:nsid w:val="0000006E"/>
    <w:multiLevelType w:val="multilevel"/>
    <w:tmpl w:val="0000006E"/>
    <w:lvl w:ilvl="0" w:tentative="0">
      <w:start w:val="1"/>
      <w:numFmt w:val="decimal"/>
      <w:lvlText w:val="（%1）"/>
      <w:lvlJc w:val="left"/>
      <w:pPr>
        <w:tabs>
          <w:tab w:val="left" w:pos="0"/>
        </w:tabs>
        <w:ind w:left="624" w:hanging="511"/>
      </w:pPr>
      <w:rPr>
        <w:rFonts w:hint="eastAsia" w:eastAsia="仿宋_GB2312"/>
        <w:b w:val="0"/>
        <w:i w:val="0"/>
        <w:sz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9">
    <w:nsid w:val="00FB4253"/>
    <w:multiLevelType w:val="multilevel"/>
    <w:tmpl w:val="00FB4253"/>
    <w:lvl w:ilvl="0" w:tentative="0">
      <w:start w:val="1"/>
      <w:numFmt w:val="decimal"/>
      <w:lvlText w:val="%1."/>
      <w:lvlJc w:val="left"/>
      <w:pPr>
        <w:ind w:left="420" w:hanging="420"/>
      </w:pPr>
      <w:rPr>
        <w:rFonts w:cs="Times New Roman"/>
        <w:b/>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60">
    <w:nsid w:val="0D8344B8"/>
    <w:multiLevelType w:val="singleLevel"/>
    <w:tmpl w:val="0D8344B8"/>
    <w:lvl w:ilvl="0" w:tentative="0">
      <w:start w:val="1"/>
      <w:numFmt w:val="chineseCounting"/>
      <w:suff w:val="space"/>
      <w:lvlText w:val="第%1章"/>
      <w:lvlJc w:val="left"/>
      <w:rPr>
        <w:rFonts w:hint="eastAsia"/>
      </w:rPr>
    </w:lvl>
  </w:abstractNum>
  <w:abstractNum w:abstractNumId="61">
    <w:nsid w:val="108A3561"/>
    <w:multiLevelType w:val="multilevel"/>
    <w:tmpl w:val="108A3561"/>
    <w:lvl w:ilvl="0" w:tentative="0">
      <w:start w:val="1"/>
      <w:numFmt w:val="japaneseCounting"/>
      <w:lvlText w:val="%1、"/>
      <w:lvlJc w:val="left"/>
      <w:pPr>
        <w:ind w:left="510" w:hanging="51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2">
    <w:nsid w:val="58422DE9"/>
    <w:multiLevelType w:val="multilevel"/>
    <w:tmpl w:val="58422DE9"/>
    <w:lvl w:ilvl="0" w:tentative="0">
      <w:start w:val="1"/>
      <w:numFmt w:val="decimal"/>
      <w:lvlText w:val="%1."/>
      <w:lvlJc w:val="left"/>
      <w:pPr>
        <w:ind w:left="420" w:hanging="420"/>
      </w:pPr>
      <w:rPr>
        <w:rFonts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63">
    <w:nsid w:val="5A138395"/>
    <w:multiLevelType w:val="singleLevel"/>
    <w:tmpl w:val="5A138395"/>
    <w:lvl w:ilvl="0" w:tentative="0">
      <w:start w:val="2"/>
      <w:numFmt w:val="chineseCounting"/>
      <w:suff w:val="nothing"/>
      <w:lvlText w:val="%1、"/>
      <w:lvlJc w:val="left"/>
    </w:lvl>
  </w:abstractNum>
  <w:abstractNum w:abstractNumId="64">
    <w:nsid w:val="5A541D8B"/>
    <w:multiLevelType w:val="singleLevel"/>
    <w:tmpl w:val="5A541D8B"/>
    <w:lvl w:ilvl="0" w:tentative="0">
      <w:start w:val="1"/>
      <w:numFmt w:val="decimal"/>
      <w:suff w:val="nothing"/>
      <w:lvlText w:val="%1、"/>
      <w:lvlJc w:val="left"/>
    </w:lvl>
  </w:abstractNum>
  <w:num w:numId="1">
    <w:abstractNumId w:val="40"/>
  </w:num>
  <w:num w:numId="2">
    <w:abstractNumId w:val="26"/>
  </w:num>
  <w:num w:numId="3">
    <w:abstractNumId w:val="60"/>
  </w:num>
  <w:num w:numId="4">
    <w:abstractNumId w:val="61"/>
  </w:num>
  <w:num w:numId="5">
    <w:abstractNumId w:val="41"/>
  </w:num>
  <w:num w:numId="6">
    <w:abstractNumId w:val="51"/>
  </w:num>
  <w:num w:numId="7">
    <w:abstractNumId w:val="52"/>
  </w:num>
  <w:num w:numId="8">
    <w:abstractNumId w:val="33"/>
  </w:num>
  <w:num w:numId="9">
    <w:abstractNumId w:val="24"/>
  </w:num>
  <w:num w:numId="10">
    <w:abstractNumId w:val="49"/>
  </w:num>
  <w:num w:numId="11">
    <w:abstractNumId w:val="37"/>
  </w:num>
  <w:num w:numId="12">
    <w:abstractNumId w:val="43"/>
  </w:num>
  <w:num w:numId="13">
    <w:abstractNumId w:val="31"/>
  </w:num>
  <w:num w:numId="14">
    <w:abstractNumId w:val="29"/>
  </w:num>
  <w:num w:numId="15">
    <w:abstractNumId w:val="38"/>
  </w:num>
  <w:num w:numId="16">
    <w:abstractNumId w:val="50"/>
  </w:num>
  <w:num w:numId="17">
    <w:abstractNumId w:val="36"/>
  </w:num>
  <w:num w:numId="18">
    <w:abstractNumId w:val="42"/>
  </w:num>
  <w:num w:numId="19">
    <w:abstractNumId w:val="23"/>
  </w:num>
  <w:num w:numId="20">
    <w:abstractNumId w:val="47"/>
  </w:num>
  <w:num w:numId="21">
    <w:abstractNumId w:val="48"/>
  </w:num>
  <w:num w:numId="22">
    <w:abstractNumId w:val="35"/>
  </w:num>
  <w:num w:numId="23">
    <w:abstractNumId w:val="20"/>
  </w:num>
  <w:num w:numId="24">
    <w:abstractNumId w:val="17"/>
  </w:num>
  <w:num w:numId="25">
    <w:abstractNumId w:val="57"/>
  </w:num>
  <w:num w:numId="26">
    <w:abstractNumId w:val="8"/>
  </w:num>
  <w:num w:numId="27">
    <w:abstractNumId w:val="22"/>
  </w:num>
  <w:num w:numId="28">
    <w:abstractNumId w:val="30"/>
  </w:num>
  <w:num w:numId="29">
    <w:abstractNumId w:val="53"/>
  </w:num>
  <w:num w:numId="30">
    <w:abstractNumId w:val="39"/>
  </w:num>
  <w:num w:numId="31">
    <w:abstractNumId w:val="19"/>
  </w:num>
  <w:num w:numId="32">
    <w:abstractNumId w:val="58"/>
  </w:num>
  <w:num w:numId="33">
    <w:abstractNumId w:val="13"/>
  </w:num>
  <w:num w:numId="34">
    <w:abstractNumId w:val="12"/>
  </w:num>
  <w:num w:numId="35">
    <w:abstractNumId w:val="28"/>
  </w:num>
  <w:num w:numId="36">
    <w:abstractNumId w:val="21"/>
  </w:num>
  <w:num w:numId="37">
    <w:abstractNumId w:val="9"/>
  </w:num>
  <w:num w:numId="38">
    <w:abstractNumId w:val="14"/>
  </w:num>
  <w:num w:numId="39">
    <w:abstractNumId w:val="7"/>
  </w:num>
  <w:num w:numId="40">
    <w:abstractNumId w:val="45"/>
  </w:num>
  <w:num w:numId="41">
    <w:abstractNumId w:val="27"/>
  </w:num>
  <w:num w:numId="42">
    <w:abstractNumId w:val="32"/>
  </w:num>
  <w:num w:numId="43">
    <w:abstractNumId w:val="0"/>
  </w:num>
  <w:num w:numId="44">
    <w:abstractNumId w:val="2"/>
  </w:num>
  <w:num w:numId="45">
    <w:abstractNumId w:val="15"/>
  </w:num>
  <w:num w:numId="46">
    <w:abstractNumId w:val="11"/>
  </w:num>
  <w:num w:numId="47">
    <w:abstractNumId w:val="34"/>
  </w:num>
  <w:num w:numId="48">
    <w:abstractNumId w:val="56"/>
  </w:num>
  <w:num w:numId="49">
    <w:abstractNumId w:val="10"/>
  </w:num>
  <w:num w:numId="50">
    <w:abstractNumId w:val="1"/>
  </w:num>
  <w:num w:numId="51">
    <w:abstractNumId w:val="54"/>
  </w:num>
  <w:num w:numId="52">
    <w:abstractNumId w:val="44"/>
  </w:num>
  <w:num w:numId="53">
    <w:abstractNumId w:val="4"/>
  </w:num>
  <w:num w:numId="54">
    <w:abstractNumId w:val="5"/>
  </w:num>
  <w:num w:numId="55">
    <w:abstractNumId w:val="46"/>
  </w:num>
  <w:num w:numId="56">
    <w:abstractNumId w:val="6"/>
  </w:num>
  <w:num w:numId="57">
    <w:abstractNumId w:val="3"/>
  </w:num>
  <w:num w:numId="58">
    <w:abstractNumId w:val="18"/>
  </w:num>
  <w:num w:numId="59">
    <w:abstractNumId w:val="55"/>
  </w:num>
  <w:num w:numId="60">
    <w:abstractNumId w:val="25"/>
  </w:num>
  <w:num w:numId="61">
    <w:abstractNumId w:val="16"/>
  </w:num>
  <w:num w:numId="62">
    <w:abstractNumId w:val="62"/>
  </w:num>
  <w:num w:numId="63">
    <w:abstractNumId w:val="59"/>
  </w:num>
  <w:num w:numId="64">
    <w:abstractNumId w:val="63"/>
  </w:num>
  <w:num w:numId="65">
    <w:abstractNumId w:val="6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embedTrueTypeFonts/>
  <w:saveSubsetFonts/>
  <w:documentProtection w:enforcement="0"/>
  <w:defaultTabStop w:val="0"/>
  <w:drawingGridHorizontalSpacing w:val="105"/>
  <w:drawingGridVerticalSpacing w:val="156"/>
  <w:displayHorizontalDrawingGridEvery w:val="2"/>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26F9"/>
    <w:rsid w:val="00006578"/>
    <w:rsid w:val="00012362"/>
    <w:rsid w:val="000239DA"/>
    <w:rsid w:val="00024922"/>
    <w:rsid w:val="00024B8E"/>
    <w:rsid w:val="00031722"/>
    <w:rsid w:val="0004178B"/>
    <w:rsid w:val="00042479"/>
    <w:rsid w:val="00061674"/>
    <w:rsid w:val="000626AC"/>
    <w:rsid w:val="000677E4"/>
    <w:rsid w:val="00072E30"/>
    <w:rsid w:val="00082BBA"/>
    <w:rsid w:val="00093B76"/>
    <w:rsid w:val="00095709"/>
    <w:rsid w:val="000D2517"/>
    <w:rsid w:val="000D3B8E"/>
    <w:rsid w:val="000D47E0"/>
    <w:rsid w:val="000E21E7"/>
    <w:rsid w:val="000F07C3"/>
    <w:rsid w:val="00100DE4"/>
    <w:rsid w:val="001111FE"/>
    <w:rsid w:val="00116132"/>
    <w:rsid w:val="0011751C"/>
    <w:rsid w:val="00122A46"/>
    <w:rsid w:val="001310EF"/>
    <w:rsid w:val="0014170F"/>
    <w:rsid w:val="00142F1E"/>
    <w:rsid w:val="00143541"/>
    <w:rsid w:val="00151ADE"/>
    <w:rsid w:val="00170C5E"/>
    <w:rsid w:val="00172A27"/>
    <w:rsid w:val="00181338"/>
    <w:rsid w:val="001A26CB"/>
    <w:rsid w:val="001A699B"/>
    <w:rsid w:val="001D7235"/>
    <w:rsid w:val="001E228D"/>
    <w:rsid w:val="00226B69"/>
    <w:rsid w:val="00233FAE"/>
    <w:rsid w:val="002462BC"/>
    <w:rsid w:val="00251C5A"/>
    <w:rsid w:val="002701B3"/>
    <w:rsid w:val="002708BE"/>
    <w:rsid w:val="00271C3B"/>
    <w:rsid w:val="0027326E"/>
    <w:rsid w:val="00274EB8"/>
    <w:rsid w:val="002920B9"/>
    <w:rsid w:val="002930FE"/>
    <w:rsid w:val="002A7321"/>
    <w:rsid w:val="002D1F79"/>
    <w:rsid w:val="002E0BD2"/>
    <w:rsid w:val="002E206A"/>
    <w:rsid w:val="002E540C"/>
    <w:rsid w:val="002F22B4"/>
    <w:rsid w:val="002F3F00"/>
    <w:rsid w:val="00311B09"/>
    <w:rsid w:val="0031380B"/>
    <w:rsid w:val="00330823"/>
    <w:rsid w:val="003472BC"/>
    <w:rsid w:val="00353741"/>
    <w:rsid w:val="00360797"/>
    <w:rsid w:val="00371F0D"/>
    <w:rsid w:val="00395361"/>
    <w:rsid w:val="003A7CB1"/>
    <w:rsid w:val="003B6FAA"/>
    <w:rsid w:val="003C6EC6"/>
    <w:rsid w:val="003D505F"/>
    <w:rsid w:val="003D643E"/>
    <w:rsid w:val="003E72E9"/>
    <w:rsid w:val="003F1035"/>
    <w:rsid w:val="003F75E0"/>
    <w:rsid w:val="00410A47"/>
    <w:rsid w:val="00412FBA"/>
    <w:rsid w:val="004175C1"/>
    <w:rsid w:val="004233B0"/>
    <w:rsid w:val="004249C1"/>
    <w:rsid w:val="00431E49"/>
    <w:rsid w:val="00455BFC"/>
    <w:rsid w:val="004574C9"/>
    <w:rsid w:val="004620EF"/>
    <w:rsid w:val="00474082"/>
    <w:rsid w:val="0048355F"/>
    <w:rsid w:val="0049378B"/>
    <w:rsid w:val="004A5AAF"/>
    <w:rsid w:val="004B454D"/>
    <w:rsid w:val="004C5A82"/>
    <w:rsid w:val="004D50F7"/>
    <w:rsid w:val="004F18A4"/>
    <w:rsid w:val="004F1F2F"/>
    <w:rsid w:val="004F5E0A"/>
    <w:rsid w:val="005043E6"/>
    <w:rsid w:val="0051309E"/>
    <w:rsid w:val="00516029"/>
    <w:rsid w:val="00521171"/>
    <w:rsid w:val="005270FB"/>
    <w:rsid w:val="005302A1"/>
    <w:rsid w:val="0054191E"/>
    <w:rsid w:val="005456FC"/>
    <w:rsid w:val="00547D58"/>
    <w:rsid w:val="00563306"/>
    <w:rsid w:val="00566C04"/>
    <w:rsid w:val="005731C0"/>
    <w:rsid w:val="00583488"/>
    <w:rsid w:val="005D1F63"/>
    <w:rsid w:val="005E5A44"/>
    <w:rsid w:val="005F0F4D"/>
    <w:rsid w:val="00604D3B"/>
    <w:rsid w:val="00605CB2"/>
    <w:rsid w:val="00615EF9"/>
    <w:rsid w:val="00616DBC"/>
    <w:rsid w:val="0062358B"/>
    <w:rsid w:val="006273D3"/>
    <w:rsid w:val="00640F58"/>
    <w:rsid w:val="00652BA7"/>
    <w:rsid w:val="00657FBA"/>
    <w:rsid w:val="00693BEC"/>
    <w:rsid w:val="006A7C18"/>
    <w:rsid w:val="006C5B91"/>
    <w:rsid w:val="006D60BF"/>
    <w:rsid w:val="006E62FC"/>
    <w:rsid w:val="006E7152"/>
    <w:rsid w:val="006F1FCA"/>
    <w:rsid w:val="00713D5A"/>
    <w:rsid w:val="00722018"/>
    <w:rsid w:val="00735DD6"/>
    <w:rsid w:val="00735F1D"/>
    <w:rsid w:val="007651EF"/>
    <w:rsid w:val="00782915"/>
    <w:rsid w:val="007A3B2E"/>
    <w:rsid w:val="007C2A39"/>
    <w:rsid w:val="007F3D84"/>
    <w:rsid w:val="0082785E"/>
    <w:rsid w:val="00840DB1"/>
    <w:rsid w:val="00855A3C"/>
    <w:rsid w:val="008663BB"/>
    <w:rsid w:val="008673BD"/>
    <w:rsid w:val="008705C1"/>
    <w:rsid w:val="00877937"/>
    <w:rsid w:val="00880FAE"/>
    <w:rsid w:val="00893C26"/>
    <w:rsid w:val="00893DB8"/>
    <w:rsid w:val="00897DF5"/>
    <w:rsid w:val="008A042F"/>
    <w:rsid w:val="008A5787"/>
    <w:rsid w:val="008A6223"/>
    <w:rsid w:val="008B07FA"/>
    <w:rsid w:val="008B1DC6"/>
    <w:rsid w:val="008B52F0"/>
    <w:rsid w:val="008B59F4"/>
    <w:rsid w:val="008C460A"/>
    <w:rsid w:val="008C6135"/>
    <w:rsid w:val="008E0770"/>
    <w:rsid w:val="009246CE"/>
    <w:rsid w:val="009432B3"/>
    <w:rsid w:val="00950FA2"/>
    <w:rsid w:val="0095725F"/>
    <w:rsid w:val="00957F1E"/>
    <w:rsid w:val="00964069"/>
    <w:rsid w:val="009A2E34"/>
    <w:rsid w:val="009A31D7"/>
    <w:rsid w:val="009B008E"/>
    <w:rsid w:val="009B452D"/>
    <w:rsid w:val="009C23EA"/>
    <w:rsid w:val="009C434B"/>
    <w:rsid w:val="009C742C"/>
    <w:rsid w:val="009D4B0F"/>
    <w:rsid w:val="009D4F1C"/>
    <w:rsid w:val="009E41E4"/>
    <w:rsid w:val="009F4041"/>
    <w:rsid w:val="00A0496F"/>
    <w:rsid w:val="00A07767"/>
    <w:rsid w:val="00A079D3"/>
    <w:rsid w:val="00A13593"/>
    <w:rsid w:val="00A2700C"/>
    <w:rsid w:val="00A35B7B"/>
    <w:rsid w:val="00A3630E"/>
    <w:rsid w:val="00A4665A"/>
    <w:rsid w:val="00A477FE"/>
    <w:rsid w:val="00A47842"/>
    <w:rsid w:val="00A47FA1"/>
    <w:rsid w:val="00A60576"/>
    <w:rsid w:val="00A67936"/>
    <w:rsid w:val="00A81429"/>
    <w:rsid w:val="00A92282"/>
    <w:rsid w:val="00A962BD"/>
    <w:rsid w:val="00AA408F"/>
    <w:rsid w:val="00AA4F93"/>
    <w:rsid w:val="00AA53ED"/>
    <w:rsid w:val="00AA5D41"/>
    <w:rsid w:val="00AA64F3"/>
    <w:rsid w:val="00AB305D"/>
    <w:rsid w:val="00AC1B82"/>
    <w:rsid w:val="00AC4CB5"/>
    <w:rsid w:val="00AD1A2E"/>
    <w:rsid w:val="00AD586E"/>
    <w:rsid w:val="00AE4325"/>
    <w:rsid w:val="00AF1C4A"/>
    <w:rsid w:val="00AF203E"/>
    <w:rsid w:val="00AF2A82"/>
    <w:rsid w:val="00AF4D85"/>
    <w:rsid w:val="00AF5C50"/>
    <w:rsid w:val="00B17A3B"/>
    <w:rsid w:val="00B25711"/>
    <w:rsid w:val="00B25EFD"/>
    <w:rsid w:val="00B34F41"/>
    <w:rsid w:val="00B42F81"/>
    <w:rsid w:val="00B46532"/>
    <w:rsid w:val="00B523BD"/>
    <w:rsid w:val="00B62C9C"/>
    <w:rsid w:val="00B6752E"/>
    <w:rsid w:val="00B91378"/>
    <w:rsid w:val="00BA766C"/>
    <w:rsid w:val="00BC1FA3"/>
    <w:rsid w:val="00BD6E79"/>
    <w:rsid w:val="00BE2D1C"/>
    <w:rsid w:val="00C15198"/>
    <w:rsid w:val="00C2049E"/>
    <w:rsid w:val="00C308C3"/>
    <w:rsid w:val="00C3451B"/>
    <w:rsid w:val="00C36C25"/>
    <w:rsid w:val="00C3716E"/>
    <w:rsid w:val="00C4112D"/>
    <w:rsid w:val="00C52FB2"/>
    <w:rsid w:val="00C54BD7"/>
    <w:rsid w:val="00C6283B"/>
    <w:rsid w:val="00C84F0C"/>
    <w:rsid w:val="00C940FC"/>
    <w:rsid w:val="00CA1674"/>
    <w:rsid w:val="00CC29DD"/>
    <w:rsid w:val="00CD44AD"/>
    <w:rsid w:val="00CD7595"/>
    <w:rsid w:val="00CF1F6D"/>
    <w:rsid w:val="00CF6AD6"/>
    <w:rsid w:val="00D10A28"/>
    <w:rsid w:val="00D12639"/>
    <w:rsid w:val="00D12D25"/>
    <w:rsid w:val="00D26887"/>
    <w:rsid w:val="00D37421"/>
    <w:rsid w:val="00D40728"/>
    <w:rsid w:val="00D46583"/>
    <w:rsid w:val="00D4763D"/>
    <w:rsid w:val="00D52AD7"/>
    <w:rsid w:val="00D5463C"/>
    <w:rsid w:val="00D74D98"/>
    <w:rsid w:val="00D77864"/>
    <w:rsid w:val="00D802BC"/>
    <w:rsid w:val="00D82490"/>
    <w:rsid w:val="00D86E0E"/>
    <w:rsid w:val="00D97715"/>
    <w:rsid w:val="00DA3DD0"/>
    <w:rsid w:val="00DB1300"/>
    <w:rsid w:val="00DB52FE"/>
    <w:rsid w:val="00DC474B"/>
    <w:rsid w:val="00DD3B52"/>
    <w:rsid w:val="00DE10B6"/>
    <w:rsid w:val="00DE3F39"/>
    <w:rsid w:val="00E10C1B"/>
    <w:rsid w:val="00E10CB1"/>
    <w:rsid w:val="00E21D5C"/>
    <w:rsid w:val="00E22E39"/>
    <w:rsid w:val="00E24383"/>
    <w:rsid w:val="00E4339D"/>
    <w:rsid w:val="00E46780"/>
    <w:rsid w:val="00E46CA8"/>
    <w:rsid w:val="00E503E7"/>
    <w:rsid w:val="00E57E98"/>
    <w:rsid w:val="00E84C68"/>
    <w:rsid w:val="00E957B3"/>
    <w:rsid w:val="00EA3C25"/>
    <w:rsid w:val="00EA6883"/>
    <w:rsid w:val="00EB542E"/>
    <w:rsid w:val="00EB67DA"/>
    <w:rsid w:val="00EB7561"/>
    <w:rsid w:val="00ED1CD4"/>
    <w:rsid w:val="00EF5DC0"/>
    <w:rsid w:val="00F00F50"/>
    <w:rsid w:val="00F100EB"/>
    <w:rsid w:val="00F1480C"/>
    <w:rsid w:val="00F2109B"/>
    <w:rsid w:val="00F33B72"/>
    <w:rsid w:val="00F417A1"/>
    <w:rsid w:val="00F42A60"/>
    <w:rsid w:val="00F53E5A"/>
    <w:rsid w:val="00F55016"/>
    <w:rsid w:val="00F73119"/>
    <w:rsid w:val="00F76474"/>
    <w:rsid w:val="00FA184A"/>
    <w:rsid w:val="00FA261A"/>
    <w:rsid w:val="00FC49A2"/>
    <w:rsid w:val="00FD56D6"/>
    <w:rsid w:val="00FD591E"/>
    <w:rsid w:val="00FD5F4B"/>
    <w:rsid w:val="00FF1EE3"/>
    <w:rsid w:val="012B306D"/>
    <w:rsid w:val="01D675F2"/>
    <w:rsid w:val="02900784"/>
    <w:rsid w:val="02C25D2B"/>
    <w:rsid w:val="02F84601"/>
    <w:rsid w:val="035167EB"/>
    <w:rsid w:val="03F3265B"/>
    <w:rsid w:val="045D1FFD"/>
    <w:rsid w:val="04753C6F"/>
    <w:rsid w:val="062846F2"/>
    <w:rsid w:val="062C6268"/>
    <w:rsid w:val="071835BD"/>
    <w:rsid w:val="07295326"/>
    <w:rsid w:val="081001ED"/>
    <w:rsid w:val="082912BE"/>
    <w:rsid w:val="08786AA1"/>
    <w:rsid w:val="098B50B5"/>
    <w:rsid w:val="0A1037F5"/>
    <w:rsid w:val="0A153EDC"/>
    <w:rsid w:val="0A506FE4"/>
    <w:rsid w:val="0A71133D"/>
    <w:rsid w:val="0AA237EB"/>
    <w:rsid w:val="0BBC6F6E"/>
    <w:rsid w:val="0CBD02E8"/>
    <w:rsid w:val="0D901A48"/>
    <w:rsid w:val="0DE0773F"/>
    <w:rsid w:val="0E2004CB"/>
    <w:rsid w:val="0E3B5A40"/>
    <w:rsid w:val="0ED25EA9"/>
    <w:rsid w:val="10A72429"/>
    <w:rsid w:val="10C94901"/>
    <w:rsid w:val="117E3E45"/>
    <w:rsid w:val="11916A84"/>
    <w:rsid w:val="12147912"/>
    <w:rsid w:val="12973868"/>
    <w:rsid w:val="131367D2"/>
    <w:rsid w:val="135C4C9A"/>
    <w:rsid w:val="138E3CB9"/>
    <w:rsid w:val="13974928"/>
    <w:rsid w:val="15967239"/>
    <w:rsid w:val="15A0228B"/>
    <w:rsid w:val="15E12B31"/>
    <w:rsid w:val="16A72D2C"/>
    <w:rsid w:val="170A5E2B"/>
    <w:rsid w:val="1770638B"/>
    <w:rsid w:val="187C28C3"/>
    <w:rsid w:val="18885F9B"/>
    <w:rsid w:val="19493977"/>
    <w:rsid w:val="19675F08"/>
    <w:rsid w:val="1BEB4357"/>
    <w:rsid w:val="1CE13ED6"/>
    <w:rsid w:val="1D3F71A4"/>
    <w:rsid w:val="1E3E4B20"/>
    <w:rsid w:val="1E5F143C"/>
    <w:rsid w:val="1EEB7707"/>
    <w:rsid w:val="1F592E4F"/>
    <w:rsid w:val="1F811EFC"/>
    <w:rsid w:val="1FE04B1C"/>
    <w:rsid w:val="200E4F1E"/>
    <w:rsid w:val="20724B65"/>
    <w:rsid w:val="23CD51F5"/>
    <w:rsid w:val="2401288A"/>
    <w:rsid w:val="24675259"/>
    <w:rsid w:val="24A80149"/>
    <w:rsid w:val="24DA4418"/>
    <w:rsid w:val="259A510D"/>
    <w:rsid w:val="26C567C9"/>
    <w:rsid w:val="287C259C"/>
    <w:rsid w:val="2894658D"/>
    <w:rsid w:val="2A3619BD"/>
    <w:rsid w:val="2B556D7F"/>
    <w:rsid w:val="2BC14590"/>
    <w:rsid w:val="2C9B7053"/>
    <w:rsid w:val="2C9E4769"/>
    <w:rsid w:val="2D257FFF"/>
    <w:rsid w:val="2E033397"/>
    <w:rsid w:val="2EBE5E2E"/>
    <w:rsid w:val="2F492547"/>
    <w:rsid w:val="2FEC15A6"/>
    <w:rsid w:val="300E7A66"/>
    <w:rsid w:val="308116F7"/>
    <w:rsid w:val="30AA728D"/>
    <w:rsid w:val="30B31A44"/>
    <w:rsid w:val="30D41814"/>
    <w:rsid w:val="328E3D98"/>
    <w:rsid w:val="333927E5"/>
    <w:rsid w:val="338E0A68"/>
    <w:rsid w:val="33FB59AF"/>
    <w:rsid w:val="34F9258F"/>
    <w:rsid w:val="35B9600B"/>
    <w:rsid w:val="3633421E"/>
    <w:rsid w:val="372534A7"/>
    <w:rsid w:val="375E1CD6"/>
    <w:rsid w:val="37C21482"/>
    <w:rsid w:val="38290F3C"/>
    <w:rsid w:val="39523A2C"/>
    <w:rsid w:val="396B5223"/>
    <w:rsid w:val="3A0351F2"/>
    <w:rsid w:val="3ACA5DC6"/>
    <w:rsid w:val="3BC33EED"/>
    <w:rsid w:val="3C094C1B"/>
    <w:rsid w:val="3CB8423A"/>
    <w:rsid w:val="3D197AE1"/>
    <w:rsid w:val="3F9A4411"/>
    <w:rsid w:val="41611BD5"/>
    <w:rsid w:val="419C7491"/>
    <w:rsid w:val="4254539C"/>
    <w:rsid w:val="42E53995"/>
    <w:rsid w:val="434367CA"/>
    <w:rsid w:val="44242107"/>
    <w:rsid w:val="44A366D3"/>
    <w:rsid w:val="455422ED"/>
    <w:rsid w:val="459F68EA"/>
    <w:rsid w:val="46B95441"/>
    <w:rsid w:val="46DE3C52"/>
    <w:rsid w:val="47C61C9A"/>
    <w:rsid w:val="487E10A8"/>
    <w:rsid w:val="49B97B1F"/>
    <w:rsid w:val="4A7F6AAA"/>
    <w:rsid w:val="4B616F49"/>
    <w:rsid w:val="4B970737"/>
    <w:rsid w:val="4DF5087E"/>
    <w:rsid w:val="4E780D44"/>
    <w:rsid w:val="5052773C"/>
    <w:rsid w:val="51225D07"/>
    <w:rsid w:val="51626647"/>
    <w:rsid w:val="520A5032"/>
    <w:rsid w:val="52C15236"/>
    <w:rsid w:val="537A50AB"/>
    <w:rsid w:val="537F70FD"/>
    <w:rsid w:val="53CF402F"/>
    <w:rsid w:val="541B6DAA"/>
    <w:rsid w:val="55F803F3"/>
    <w:rsid w:val="563461F8"/>
    <w:rsid w:val="56727ADF"/>
    <w:rsid w:val="58312B26"/>
    <w:rsid w:val="58D73337"/>
    <w:rsid w:val="59906523"/>
    <w:rsid w:val="599E4E0C"/>
    <w:rsid w:val="59E83AC8"/>
    <w:rsid w:val="5AE51B2A"/>
    <w:rsid w:val="5AFC3FD3"/>
    <w:rsid w:val="5D325130"/>
    <w:rsid w:val="5DAC3F6E"/>
    <w:rsid w:val="5FC77A6E"/>
    <w:rsid w:val="604709DC"/>
    <w:rsid w:val="613F5277"/>
    <w:rsid w:val="61452C88"/>
    <w:rsid w:val="616C035F"/>
    <w:rsid w:val="628228DB"/>
    <w:rsid w:val="63595209"/>
    <w:rsid w:val="640D6C3A"/>
    <w:rsid w:val="64203499"/>
    <w:rsid w:val="644560E2"/>
    <w:rsid w:val="6499493F"/>
    <w:rsid w:val="649D4F43"/>
    <w:rsid w:val="661C43E0"/>
    <w:rsid w:val="66680124"/>
    <w:rsid w:val="66CE18C1"/>
    <w:rsid w:val="66E34AD7"/>
    <w:rsid w:val="66FD6391"/>
    <w:rsid w:val="68324565"/>
    <w:rsid w:val="68CB2218"/>
    <w:rsid w:val="6913103D"/>
    <w:rsid w:val="69145ECE"/>
    <w:rsid w:val="69DB4B9C"/>
    <w:rsid w:val="69FC760E"/>
    <w:rsid w:val="6A4D4FCE"/>
    <w:rsid w:val="6A6970E5"/>
    <w:rsid w:val="6B575FB6"/>
    <w:rsid w:val="6B716D3B"/>
    <w:rsid w:val="6C333FA5"/>
    <w:rsid w:val="6D5337BA"/>
    <w:rsid w:val="6E342023"/>
    <w:rsid w:val="71EC6540"/>
    <w:rsid w:val="724305FA"/>
    <w:rsid w:val="72F012B5"/>
    <w:rsid w:val="73031253"/>
    <w:rsid w:val="74495483"/>
    <w:rsid w:val="744B5F19"/>
    <w:rsid w:val="74FF38CD"/>
    <w:rsid w:val="75270E54"/>
    <w:rsid w:val="75BD79BE"/>
    <w:rsid w:val="767A796C"/>
    <w:rsid w:val="77FF3405"/>
    <w:rsid w:val="7B455B1B"/>
    <w:rsid w:val="7C49311D"/>
    <w:rsid w:val="7D170795"/>
    <w:rsid w:val="7D294101"/>
    <w:rsid w:val="7D4F437D"/>
    <w:rsid w:val="7F231076"/>
    <w:rsid w:val="7F9105F0"/>
    <w:rsid w:val="7FFB66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07"/>
    <w:qFormat/>
    <w:uiPriority w:val="0"/>
    <w:pPr>
      <w:keepNext/>
      <w:keepLines/>
      <w:adjustRightInd w:val="0"/>
      <w:spacing w:before="340" w:after="330" w:line="578" w:lineRule="atLeast"/>
      <w:textAlignment w:val="baseline"/>
      <w:outlineLvl w:val="0"/>
    </w:pPr>
    <w:rPr>
      <w:b/>
      <w:kern w:val="44"/>
      <w:sz w:val="44"/>
    </w:rPr>
  </w:style>
  <w:style w:type="paragraph" w:styleId="3">
    <w:name w:val="heading 2"/>
    <w:basedOn w:val="1"/>
    <w:next w:val="1"/>
    <w:link w:val="85"/>
    <w:qFormat/>
    <w:uiPriority w:val="0"/>
    <w:pPr>
      <w:keepNext/>
      <w:keepLines/>
      <w:numPr>
        <w:ilvl w:val="1"/>
        <w:numId w:val="1"/>
      </w:numPr>
      <w:adjustRightInd w:val="0"/>
      <w:spacing w:before="260" w:after="260" w:line="416" w:lineRule="atLeast"/>
      <w:textAlignment w:val="baseline"/>
      <w:outlineLvl w:val="1"/>
    </w:pPr>
    <w:rPr>
      <w:rFonts w:ascii="Arial" w:hAnsi="Arial" w:eastAsia="黑体"/>
      <w:b/>
      <w:sz w:val="32"/>
    </w:rPr>
  </w:style>
  <w:style w:type="paragraph" w:styleId="4">
    <w:name w:val="heading 3"/>
    <w:basedOn w:val="1"/>
    <w:next w:val="1"/>
    <w:link w:val="120"/>
    <w:qFormat/>
    <w:uiPriority w:val="0"/>
    <w:pPr>
      <w:keepNext/>
      <w:keepLines/>
      <w:adjustRightInd w:val="0"/>
      <w:spacing w:before="260" w:after="260" w:line="416" w:lineRule="atLeast"/>
      <w:textAlignment w:val="baseline"/>
      <w:outlineLvl w:val="2"/>
    </w:pPr>
    <w:rPr>
      <w:b/>
      <w:sz w:val="32"/>
    </w:rPr>
  </w:style>
  <w:style w:type="paragraph" w:styleId="5">
    <w:name w:val="heading 4"/>
    <w:basedOn w:val="1"/>
    <w:next w:val="1"/>
    <w:link w:val="89"/>
    <w:qFormat/>
    <w:uiPriority w:val="0"/>
    <w:pPr>
      <w:keepNext/>
      <w:keepLines/>
      <w:adjustRightInd w:val="0"/>
      <w:spacing w:before="280" w:after="290" w:line="376" w:lineRule="atLeast"/>
      <w:textAlignment w:val="baseline"/>
      <w:outlineLvl w:val="3"/>
    </w:pPr>
    <w:rPr>
      <w:rFonts w:ascii="Arial" w:hAnsi="Arial" w:eastAsia="黑体"/>
      <w:b/>
      <w:sz w:val="28"/>
    </w:rPr>
  </w:style>
  <w:style w:type="paragraph" w:styleId="6">
    <w:name w:val="heading 5"/>
    <w:basedOn w:val="1"/>
    <w:next w:val="1"/>
    <w:link w:val="95"/>
    <w:qFormat/>
    <w:uiPriority w:val="0"/>
    <w:pPr>
      <w:keepNext/>
      <w:keepLines/>
      <w:adjustRightInd w:val="0"/>
      <w:spacing w:before="280" w:after="290" w:line="376" w:lineRule="atLeast"/>
      <w:textAlignment w:val="baseline"/>
      <w:outlineLvl w:val="4"/>
    </w:pPr>
    <w:rPr>
      <w:b/>
      <w:sz w:val="28"/>
    </w:rPr>
  </w:style>
  <w:style w:type="paragraph" w:styleId="7">
    <w:name w:val="heading 6"/>
    <w:basedOn w:val="1"/>
    <w:next w:val="1"/>
    <w:link w:val="81"/>
    <w:qFormat/>
    <w:uiPriority w:val="0"/>
    <w:pPr>
      <w:keepNext/>
      <w:keepLines/>
      <w:adjustRightInd w:val="0"/>
      <w:spacing w:before="240" w:after="64" w:line="320" w:lineRule="atLeast"/>
      <w:textAlignment w:val="baseline"/>
      <w:outlineLvl w:val="5"/>
    </w:pPr>
    <w:rPr>
      <w:rFonts w:ascii="Arial" w:hAnsi="Arial" w:eastAsia="黑体"/>
      <w:b/>
      <w:sz w:val="24"/>
    </w:rPr>
  </w:style>
  <w:style w:type="paragraph" w:styleId="8">
    <w:name w:val="heading 7"/>
    <w:basedOn w:val="1"/>
    <w:next w:val="1"/>
    <w:link w:val="86"/>
    <w:qFormat/>
    <w:uiPriority w:val="0"/>
    <w:pPr>
      <w:keepNext/>
      <w:keepLines/>
      <w:adjustRightInd w:val="0"/>
      <w:spacing w:before="240" w:after="64" w:line="320" w:lineRule="atLeast"/>
      <w:textAlignment w:val="baseline"/>
      <w:outlineLvl w:val="6"/>
    </w:pPr>
    <w:rPr>
      <w:b/>
      <w:sz w:val="24"/>
    </w:rPr>
  </w:style>
  <w:style w:type="paragraph" w:styleId="9">
    <w:name w:val="heading 8"/>
    <w:basedOn w:val="1"/>
    <w:next w:val="1"/>
    <w:link w:val="99"/>
    <w:qFormat/>
    <w:uiPriority w:val="0"/>
    <w:pPr>
      <w:keepNext/>
      <w:keepLines/>
      <w:adjustRightInd w:val="0"/>
      <w:spacing w:before="240" w:after="64" w:line="320" w:lineRule="atLeast"/>
      <w:textAlignment w:val="baseline"/>
      <w:outlineLvl w:val="7"/>
    </w:pPr>
    <w:rPr>
      <w:rFonts w:ascii="Arial" w:hAnsi="Arial" w:eastAsia="黑体"/>
      <w:sz w:val="24"/>
    </w:rPr>
  </w:style>
  <w:style w:type="paragraph" w:styleId="10">
    <w:name w:val="heading 9"/>
    <w:basedOn w:val="1"/>
    <w:next w:val="1"/>
    <w:link w:val="98"/>
    <w:qFormat/>
    <w:uiPriority w:val="0"/>
    <w:pPr>
      <w:keepNext/>
      <w:keepLines/>
      <w:adjustRightInd w:val="0"/>
      <w:spacing w:before="240" w:after="64" w:line="320" w:lineRule="atLeast"/>
      <w:textAlignment w:val="baseline"/>
      <w:outlineLvl w:val="8"/>
    </w:pPr>
    <w:rPr>
      <w:rFonts w:ascii="Arial" w:hAnsi="Arial" w:eastAsia="黑体"/>
    </w:rPr>
  </w:style>
  <w:style w:type="character" w:default="1" w:styleId="39">
    <w:name w:val="Default Paragraph Font"/>
    <w:semiHidden/>
    <w:unhideWhenUsed/>
    <w:qFormat/>
    <w:uiPriority w:val="1"/>
  </w:style>
  <w:style w:type="table" w:default="1" w:styleId="47">
    <w:name w:val="Normal Table"/>
    <w:semiHidden/>
    <w:unhideWhenUsed/>
    <w:qFormat/>
    <w:uiPriority w:val="99"/>
    <w:tblPr>
      <w:tblLayout w:type="fixed"/>
      <w:tblCellMar>
        <w:top w:w="0" w:type="dxa"/>
        <w:left w:w="108" w:type="dxa"/>
        <w:bottom w:w="0" w:type="dxa"/>
        <w:right w:w="108" w:type="dxa"/>
      </w:tblCellMar>
    </w:tblPr>
  </w:style>
  <w:style w:type="paragraph" w:styleId="11">
    <w:name w:val="annotation subject"/>
    <w:basedOn w:val="12"/>
    <w:next w:val="12"/>
    <w:qFormat/>
    <w:uiPriority w:val="0"/>
    <w:rPr>
      <w:b/>
      <w:bCs/>
    </w:rPr>
  </w:style>
  <w:style w:type="paragraph" w:styleId="12">
    <w:name w:val="annotation text"/>
    <w:basedOn w:val="1"/>
    <w:link w:val="125"/>
    <w:qFormat/>
    <w:uiPriority w:val="0"/>
    <w:pPr>
      <w:jc w:val="left"/>
    </w:pPr>
  </w:style>
  <w:style w:type="paragraph" w:styleId="13">
    <w:name w:val="toc 7"/>
    <w:basedOn w:val="1"/>
    <w:next w:val="1"/>
    <w:qFormat/>
    <w:uiPriority w:val="39"/>
    <w:pPr>
      <w:ind w:left="2520" w:leftChars="1200"/>
    </w:pPr>
  </w:style>
  <w:style w:type="paragraph" w:styleId="14">
    <w:name w:val="Normal Indent"/>
    <w:basedOn w:val="1"/>
    <w:qFormat/>
    <w:uiPriority w:val="0"/>
    <w:pPr>
      <w:ind w:firstLine="420"/>
    </w:pPr>
    <w:rPr>
      <w:szCs w:val="20"/>
    </w:rPr>
  </w:style>
  <w:style w:type="paragraph" w:styleId="15">
    <w:name w:val="List Bullet"/>
    <w:basedOn w:val="1"/>
    <w:qFormat/>
    <w:uiPriority w:val="0"/>
    <w:pPr>
      <w:ind w:firstLine="420" w:firstLineChars="200"/>
    </w:pPr>
    <w:rPr>
      <w:rFonts w:ascii="Arial" w:hAnsi="Arial"/>
      <w:color w:val="000000"/>
      <w:kern w:val="0"/>
      <w:szCs w:val="21"/>
    </w:rPr>
  </w:style>
  <w:style w:type="paragraph" w:styleId="16">
    <w:name w:val="Document Map"/>
    <w:basedOn w:val="1"/>
    <w:qFormat/>
    <w:uiPriority w:val="0"/>
    <w:pPr>
      <w:shd w:val="clear" w:color="auto" w:fill="000080"/>
    </w:pPr>
  </w:style>
  <w:style w:type="paragraph" w:styleId="17">
    <w:name w:val="Body Text 3"/>
    <w:basedOn w:val="1"/>
    <w:qFormat/>
    <w:uiPriority w:val="0"/>
    <w:rPr>
      <w:sz w:val="16"/>
      <w:szCs w:val="16"/>
    </w:rPr>
  </w:style>
  <w:style w:type="paragraph" w:styleId="18">
    <w:name w:val="Body Text"/>
    <w:basedOn w:val="1"/>
    <w:qFormat/>
    <w:uiPriority w:val="0"/>
    <w:pPr>
      <w:spacing w:line="360" w:lineRule="auto"/>
    </w:pPr>
    <w:rPr>
      <w:sz w:val="24"/>
      <w:szCs w:val="20"/>
    </w:rPr>
  </w:style>
  <w:style w:type="paragraph" w:styleId="19">
    <w:name w:val="Body Text Indent"/>
    <w:basedOn w:val="1"/>
    <w:qFormat/>
    <w:uiPriority w:val="0"/>
    <w:pPr>
      <w:adjustRightInd w:val="0"/>
      <w:snapToGrid w:val="0"/>
      <w:spacing w:line="400" w:lineRule="atLeast"/>
      <w:ind w:firstLine="480" w:firstLineChars="200"/>
    </w:pPr>
    <w:rPr>
      <w:rFonts w:ascii="仿宋_GB2312" w:hAnsi="宋体" w:eastAsia="仿宋_GB2312"/>
      <w:sz w:val="24"/>
    </w:rPr>
  </w:style>
  <w:style w:type="paragraph" w:styleId="20">
    <w:name w:val="toc 5"/>
    <w:basedOn w:val="1"/>
    <w:next w:val="1"/>
    <w:qFormat/>
    <w:uiPriority w:val="39"/>
    <w:pPr>
      <w:ind w:left="1680" w:leftChars="800"/>
    </w:pPr>
  </w:style>
  <w:style w:type="paragraph" w:styleId="21">
    <w:name w:val="toc 3"/>
    <w:basedOn w:val="1"/>
    <w:next w:val="1"/>
    <w:qFormat/>
    <w:uiPriority w:val="39"/>
    <w:pPr>
      <w:spacing w:line="300" w:lineRule="exact"/>
      <w:ind w:left="400" w:leftChars="400"/>
    </w:pPr>
    <w:rPr>
      <w:rFonts w:eastAsia="仿宋_GB2312"/>
    </w:rPr>
  </w:style>
  <w:style w:type="paragraph" w:styleId="22">
    <w:name w:val="Plain Text"/>
    <w:basedOn w:val="1"/>
    <w:link w:val="126"/>
    <w:qFormat/>
    <w:uiPriority w:val="0"/>
    <w:rPr>
      <w:rFonts w:ascii="宋体" w:hAnsi="Courier New"/>
    </w:rPr>
  </w:style>
  <w:style w:type="paragraph" w:styleId="23">
    <w:name w:val="toc 8"/>
    <w:basedOn w:val="1"/>
    <w:next w:val="1"/>
    <w:qFormat/>
    <w:uiPriority w:val="39"/>
    <w:pPr>
      <w:ind w:left="2940" w:leftChars="1400"/>
    </w:pPr>
  </w:style>
  <w:style w:type="paragraph" w:styleId="24">
    <w:name w:val="Date"/>
    <w:basedOn w:val="1"/>
    <w:next w:val="1"/>
    <w:link w:val="103"/>
    <w:qFormat/>
    <w:uiPriority w:val="0"/>
    <w:pPr>
      <w:ind w:left="100" w:leftChars="2500"/>
    </w:pPr>
    <w:rPr>
      <w:rFonts w:eastAsia="黑体"/>
      <w:b/>
      <w:spacing w:val="-2"/>
      <w:sz w:val="30"/>
    </w:rPr>
  </w:style>
  <w:style w:type="paragraph" w:styleId="25">
    <w:name w:val="Body Text Indent 2"/>
    <w:basedOn w:val="1"/>
    <w:qFormat/>
    <w:uiPriority w:val="0"/>
    <w:pPr>
      <w:adjustRightInd w:val="0"/>
      <w:snapToGrid w:val="0"/>
      <w:spacing w:line="440" w:lineRule="atLeast"/>
      <w:ind w:left="907" w:hanging="67"/>
      <w:jc w:val="left"/>
      <w:textAlignment w:val="center"/>
    </w:pPr>
    <w:rPr>
      <w:rFonts w:ascii="仿宋_GB2312" w:eastAsia="仿宋_GB2312"/>
      <w:b/>
      <w:sz w:val="24"/>
    </w:rPr>
  </w:style>
  <w:style w:type="paragraph" w:styleId="26">
    <w:name w:val="Balloon Text"/>
    <w:basedOn w:val="1"/>
    <w:qFormat/>
    <w:uiPriority w:val="0"/>
    <w:rPr>
      <w:sz w:val="18"/>
      <w:szCs w:val="18"/>
    </w:rPr>
  </w:style>
  <w:style w:type="paragraph" w:styleId="27">
    <w:name w:val="footer"/>
    <w:basedOn w:val="1"/>
    <w:link w:val="121"/>
    <w:qFormat/>
    <w:uiPriority w:val="0"/>
    <w:pPr>
      <w:tabs>
        <w:tab w:val="center" w:pos="4153"/>
        <w:tab w:val="right" w:pos="8306"/>
      </w:tabs>
      <w:snapToGrid w:val="0"/>
      <w:jc w:val="left"/>
    </w:pPr>
    <w:rPr>
      <w:sz w:val="18"/>
      <w:szCs w:val="18"/>
    </w:rPr>
  </w:style>
  <w:style w:type="paragraph" w:styleId="28">
    <w:name w:val="header"/>
    <w:basedOn w:val="1"/>
    <w:link w:val="93"/>
    <w:qFormat/>
    <w:uiPriority w:val="0"/>
    <w:pPr>
      <w:pBdr>
        <w:bottom w:val="single" w:color="auto" w:sz="6" w:space="1"/>
      </w:pBdr>
      <w:tabs>
        <w:tab w:val="center" w:pos="4153"/>
        <w:tab w:val="right" w:pos="8306"/>
      </w:tabs>
      <w:snapToGrid w:val="0"/>
      <w:jc w:val="center"/>
    </w:pPr>
    <w:rPr>
      <w:sz w:val="18"/>
      <w:szCs w:val="18"/>
    </w:rPr>
  </w:style>
  <w:style w:type="paragraph" w:styleId="29">
    <w:name w:val="toc 1"/>
    <w:basedOn w:val="1"/>
    <w:next w:val="1"/>
    <w:qFormat/>
    <w:uiPriority w:val="39"/>
    <w:pPr>
      <w:tabs>
        <w:tab w:val="right" w:leader="dot" w:pos="9071"/>
      </w:tabs>
      <w:adjustRightInd w:val="0"/>
      <w:spacing w:beforeLines="50" w:line="400" w:lineRule="exact"/>
      <w:textAlignment w:val="baseline"/>
    </w:pPr>
    <w:rPr>
      <w:rFonts w:eastAsia="仿宋_GB2312"/>
      <w:b/>
      <w:kern w:val="0"/>
      <w:sz w:val="28"/>
      <w:szCs w:val="20"/>
    </w:rPr>
  </w:style>
  <w:style w:type="paragraph" w:styleId="30">
    <w:name w:val="toc 4"/>
    <w:basedOn w:val="1"/>
    <w:next w:val="1"/>
    <w:qFormat/>
    <w:uiPriority w:val="39"/>
    <w:pPr>
      <w:ind w:left="1260" w:leftChars="600"/>
    </w:pPr>
  </w:style>
  <w:style w:type="paragraph" w:styleId="31">
    <w:name w:val="toc 6"/>
    <w:basedOn w:val="1"/>
    <w:next w:val="1"/>
    <w:qFormat/>
    <w:uiPriority w:val="39"/>
    <w:pPr>
      <w:ind w:left="2100" w:leftChars="1000"/>
    </w:pPr>
  </w:style>
  <w:style w:type="paragraph" w:styleId="32">
    <w:name w:val="Body Text Indent 3"/>
    <w:basedOn w:val="1"/>
    <w:qFormat/>
    <w:uiPriority w:val="0"/>
    <w:pPr>
      <w:spacing w:line="420" w:lineRule="atLeast"/>
      <w:ind w:left="836"/>
    </w:pPr>
    <w:rPr>
      <w:rFonts w:ascii="仿宋_GB2312" w:hAnsi="宋体" w:eastAsia="仿宋_GB2312"/>
      <w:b/>
      <w:bCs/>
      <w:sz w:val="24"/>
    </w:rPr>
  </w:style>
  <w:style w:type="paragraph" w:styleId="33">
    <w:name w:val="table of figures"/>
    <w:basedOn w:val="1"/>
    <w:next w:val="1"/>
    <w:qFormat/>
    <w:uiPriority w:val="0"/>
    <w:pPr>
      <w:ind w:left="840" w:leftChars="200" w:hanging="420" w:hangingChars="200"/>
    </w:pPr>
  </w:style>
  <w:style w:type="paragraph" w:styleId="34">
    <w:name w:val="toc 2"/>
    <w:basedOn w:val="1"/>
    <w:next w:val="1"/>
    <w:qFormat/>
    <w:uiPriority w:val="39"/>
    <w:pPr>
      <w:ind w:left="420" w:leftChars="200"/>
    </w:pPr>
    <w:rPr>
      <w:rFonts w:eastAsia="仿宋_GB2312"/>
      <w:sz w:val="24"/>
    </w:rPr>
  </w:style>
  <w:style w:type="paragraph" w:styleId="35">
    <w:name w:val="toc 9"/>
    <w:basedOn w:val="1"/>
    <w:next w:val="1"/>
    <w:qFormat/>
    <w:uiPriority w:val="39"/>
    <w:pPr>
      <w:ind w:left="3360" w:leftChars="1600"/>
    </w:pPr>
  </w:style>
  <w:style w:type="paragraph" w:styleId="36">
    <w:name w:val="Body Text 2"/>
    <w:basedOn w:val="1"/>
    <w:link w:val="118"/>
    <w:qFormat/>
    <w:uiPriority w:val="0"/>
    <w:rPr>
      <w:rFonts w:ascii="Arial" w:hAnsi="Arial" w:cs="Arial"/>
      <w:color w:val="000000"/>
      <w:spacing w:val="10"/>
      <w:sz w:val="30"/>
    </w:rPr>
  </w:style>
  <w:style w:type="paragraph" w:styleId="3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eastAsia="Arial Unicode MS" w:cs="Arial"/>
      <w:kern w:val="0"/>
      <w:szCs w:val="21"/>
    </w:rPr>
  </w:style>
  <w:style w:type="paragraph" w:styleId="38">
    <w:name w:val="Normal (Web)"/>
    <w:basedOn w:val="1"/>
    <w:qFormat/>
    <w:uiPriority w:val="0"/>
    <w:pPr>
      <w:widowControl/>
      <w:spacing w:beforeAutospacing="1" w:afterAutospacing="1"/>
      <w:jc w:val="left"/>
    </w:pPr>
    <w:rPr>
      <w:rFonts w:ascii="宋体" w:hAnsi="宋体"/>
      <w:kern w:val="0"/>
      <w:sz w:val="24"/>
    </w:rPr>
  </w:style>
  <w:style w:type="character" w:styleId="40">
    <w:name w:val="Strong"/>
    <w:basedOn w:val="39"/>
    <w:qFormat/>
    <w:uiPriority w:val="0"/>
    <w:rPr>
      <w:b/>
      <w:bCs/>
    </w:rPr>
  </w:style>
  <w:style w:type="character" w:styleId="41">
    <w:name w:val="page number"/>
    <w:basedOn w:val="39"/>
    <w:qFormat/>
    <w:uiPriority w:val="0"/>
  </w:style>
  <w:style w:type="character" w:styleId="42">
    <w:name w:val="FollowedHyperlink"/>
    <w:basedOn w:val="39"/>
    <w:qFormat/>
    <w:uiPriority w:val="0"/>
    <w:rPr>
      <w:color w:val="800080"/>
      <w:u w:val="single"/>
    </w:rPr>
  </w:style>
  <w:style w:type="character" w:styleId="43">
    <w:name w:val="Emphasis"/>
    <w:basedOn w:val="39"/>
    <w:qFormat/>
    <w:uiPriority w:val="0"/>
    <w:rPr>
      <w:i/>
      <w:iCs/>
    </w:rPr>
  </w:style>
  <w:style w:type="character" w:styleId="44">
    <w:name w:val="Hyperlink"/>
    <w:basedOn w:val="39"/>
    <w:qFormat/>
    <w:uiPriority w:val="99"/>
    <w:rPr>
      <w:color w:val="0000FF"/>
      <w:u w:val="single"/>
    </w:rPr>
  </w:style>
  <w:style w:type="character" w:styleId="45">
    <w:name w:val="HTML Code"/>
    <w:basedOn w:val="39"/>
    <w:qFormat/>
    <w:uiPriority w:val="0"/>
    <w:rPr>
      <w:rFonts w:ascii="宋体" w:hAnsi="宋体" w:eastAsia="宋体" w:cs="宋体"/>
      <w:sz w:val="24"/>
      <w:szCs w:val="24"/>
    </w:rPr>
  </w:style>
  <w:style w:type="character" w:styleId="46">
    <w:name w:val="annotation reference"/>
    <w:basedOn w:val="39"/>
    <w:qFormat/>
    <w:uiPriority w:val="0"/>
    <w:rPr>
      <w:sz w:val="21"/>
      <w:szCs w:val="21"/>
    </w:rPr>
  </w:style>
  <w:style w:type="table" w:styleId="48">
    <w:name w:val="Table Grid"/>
    <w:basedOn w:val="4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49">
    <w:name w:val="flie遲ext"/>
    <w:qFormat/>
    <w:uiPriority w:val="0"/>
    <w:pPr>
      <w:widowControl w:val="0"/>
      <w:autoSpaceDE w:val="0"/>
      <w:autoSpaceDN w:val="0"/>
      <w:adjustRightInd w:val="0"/>
      <w:spacing w:line="280" w:lineRule="atLeast"/>
    </w:pPr>
    <w:rPr>
      <w:rFonts w:ascii="HelveticaCondensed" w:hAnsi="HelveticaCondensed" w:eastAsia="宋体" w:cs="Times New Roman"/>
      <w:color w:val="000000"/>
      <w:lang w:val="en-US" w:eastAsia="zh-CN" w:bidi="ar-SA"/>
    </w:rPr>
  </w:style>
  <w:style w:type="paragraph" w:customStyle="1" w:styleId="50">
    <w:name w:val="p0"/>
    <w:basedOn w:val="1"/>
    <w:qFormat/>
    <w:uiPriority w:val="0"/>
    <w:pPr>
      <w:widowControl/>
      <w:spacing w:beforeAutospacing="1" w:afterAutospacing="1"/>
      <w:jc w:val="left"/>
    </w:pPr>
    <w:rPr>
      <w:rFonts w:ascii="宋体" w:hAnsi="宋体" w:cs="宋体"/>
      <w:kern w:val="0"/>
      <w:sz w:val="24"/>
    </w:rPr>
  </w:style>
  <w:style w:type="paragraph" w:customStyle="1" w:styleId="51">
    <w:name w:val="Char Char Char"/>
    <w:basedOn w:val="1"/>
    <w:qFormat/>
    <w:uiPriority w:val="0"/>
    <w:rPr>
      <w:rFonts w:ascii="Tahoma" w:hAnsi="Tahoma"/>
      <w:sz w:val="24"/>
      <w:szCs w:val="20"/>
    </w:rPr>
  </w:style>
  <w:style w:type="paragraph" w:customStyle="1" w:styleId="52">
    <w:name w:val="p15"/>
    <w:basedOn w:val="1"/>
    <w:qFormat/>
    <w:uiPriority w:val="0"/>
    <w:pPr>
      <w:widowControl/>
      <w:spacing w:line="300" w:lineRule="auto"/>
      <w:ind w:firstLine="420"/>
    </w:pPr>
    <w:rPr>
      <w:kern w:val="0"/>
      <w:szCs w:val="21"/>
    </w:rPr>
  </w:style>
  <w:style w:type="paragraph" w:customStyle="1" w:styleId="53">
    <w:name w:val="Char"/>
    <w:basedOn w:val="1"/>
    <w:qFormat/>
    <w:uiPriority w:val="0"/>
    <w:rPr>
      <w:szCs w:val="20"/>
    </w:rPr>
  </w:style>
  <w:style w:type="paragraph" w:styleId="54">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5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56">
    <w:name w:val="1"/>
    <w:basedOn w:val="1"/>
    <w:next w:val="22"/>
    <w:qFormat/>
    <w:uiPriority w:val="0"/>
    <w:rPr>
      <w:rFonts w:ascii="Courier New" w:hAnsi="Courier New"/>
      <w:szCs w:val="20"/>
    </w:rPr>
  </w:style>
  <w:style w:type="paragraph" w:customStyle="1" w:styleId="57">
    <w:name w:val="Char1"/>
    <w:basedOn w:val="1"/>
    <w:qFormat/>
    <w:uiPriority w:val="0"/>
    <w:pPr>
      <w:widowControl/>
      <w:spacing w:line="240" w:lineRule="exact"/>
      <w:jc w:val="left"/>
    </w:pPr>
    <w:rPr>
      <w:szCs w:val="20"/>
    </w:rPr>
  </w:style>
  <w:style w:type="paragraph" w:customStyle="1" w:styleId="58">
    <w:name w:val="Char11"/>
    <w:basedOn w:val="1"/>
    <w:qFormat/>
    <w:uiPriority w:val="0"/>
    <w:pPr>
      <w:widowControl/>
      <w:spacing w:line="240" w:lineRule="exact"/>
      <w:jc w:val="left"/>
    </w:pPr>
  </w:style>
  <w:style w:type="paragraph" w:customStyle="1" w:styleId="59">
    <w:name w:val="默认段落字体 Para Char Char Char Char"/>
    <w:basedOn w:val="1"/>
    <w:qFormat/>
    <w:uiPriority w:val="0"/>
  </w:style>
  <w:style w:type="paragraph" w:customStyle="1" w:styleId="60">
    <w:name w:val="Char Char Char1"/>
    <w:basedOn w:val="1"/>
    <w:qFormat/>
    <w:uiPriority w:val="0"/>
    <w:rPr>
      <w:rFonts w:ascii="Tahoma" w:hAnsi="Tahoma"/>
      <w:sz w:val="24"/>
      <w:szCs w:val="20"/>
    </w:rPr>
  </w:style>
  <w:style w:type="paragraph" w:styleId="61">
    <w:name w:val="List Paragraph"/>
    <w:basedOn w:val="1"/>
    <w:qFormat/>
    <w:uiPriority w:val="34"/>
    <w:pPr>
      <w:ind w:firstLine="420" w:firstLineChars="200"/>
    </w:pPr>
    <w:rPr>
      <w:rFonts w:ascii="Calibri" w:hAnsi="Calibri"/>
      <w:szCs w:val="22"/>
    </w:rPr>
  </w:style>
  <w:style w:type="paragraph" w:customStyle="1" w:styleId="62">
    <w:name w:val="默认段落字体 Para Char"/>
    <w:basedOn w:val="1"/>
    <w:qFormat/>
    <w:uiPriority w:val="0"/>
    <w:pPr>
      <w:adjustRightInd w:val="0"/>
      <w:spacing w:line="360" w:lineRule="auto"/>
    </w:pPr>
    <w:rPr>
      <w:kern w:val="0"/>
      <w:sz w:val="24"/>
      <w:szCs w:val="20"/>
    </w:rPr>
  </w:style>
  <w:style w:type="paragraph" w:customStyle="1" w:styleId="63">
    <w:name w:val="contents1"/>
    <w:basedOn w:val="1"/>
    <w:qFormat/>
    <w:uiPriority w:val="0"/>
    <w:pPr>
      <w:widowControl/>
      <w:spacing w:beforeAutospacing="1" w:afterAutospacing="1"/>
      <w:jc w:val="left"/>
    </w:pPr>
    <w:rPr>
      <w:rFonts w:ascii="宋体" w:hAnsi="宋体" w:cs="宋体"/>
      <w:color w:val="000000"/>
      <w:kern w:val="0"/>
      <w:sz w:val="24"/>
    </w:rPr>
  </w:style>
  <w:style w:type="paragraph" w:customStyle="1" w:styleId="64">
    <w:name w:val="t-red"/>
    <w:basedOn w:val="1"/>
    <w:qFormat/>
    <w:uiPriority w:val="0"/>
    <w:pPr>
      <w:widowControl/>
      <w:spacing w:beforeAutospacing="1" w:afterAutospacing="1"/>
      <w:jc w:val="left"/>
    </w:pPr>
    <w:rPr>
      <w:rFonts w:ascii="宋体" w:hAnsi="宋体" w:cs="宋体"/>
      <w:kern w:val="0"/>
      <w:sz w:val="24"/>
    </w:rPr>
  </w:style>
  <w:style w:type="paragraph" w:customStyle="1" w:styleId="65">
    <w:name w:val="Char Char Char Char Char Char Char"/>
    <w:basedOn w:val="1"/>
    <w:qFormat/>
    <w:uiPriority w:val="0"/>
    <w:rPr>
      <w:rFonts w:ascii="Tahoma" w:hAnsi="Tahoma"/>
      <w:sz w:val="24"/>
      <w:szCs w:val="20"/>
    </w:rPr>
  </w:style>
  <w:style w:type="paragraph" w:customStyle="1" w:styleId="66">
    <w:name w:val="itemlistintable"/>
    <w:basedOn w:val="1"/>
    <w:qFormat/>
    <w:uiPriority w:val="0"/>
    <w:pPr>
      <w:widowControl/>
      <w:spacing w:beforeAutospacing="1" w:afterAutospacing="1"/>
      <w:jc w:val="left"/>
    </w:pPr>
    <w:rPr>
      <w:rFonts w:ascii="宋体" w:hAnsi="宋体" w:cs="宋体"/>
      <w:kern w:val="0"/>
      <w:sz w:val="24"/>
    </w:rPr>
  </w:style>
  <w:style w:type="paragraph" w:customStyle="1" w:styleId="67">
    <w:name w:val="t-14b"/>
    <w:basedOn w:val="1"/>
    <w:qFormat/>
    <w:uiPriority w:val="0"/>
    <w:pPr>
      <w:widowControl/>
      <w:spacing w:beforeAutospacing="1" w:afterAutospacing="1" w:line="330" w:lineRule="atLeast"/>
      <w:jc w:val="left"/>
    </w:pPr>
    <w:rPr>
      <w:rFonts w:ascii="Verdana" w:hAnsi="Verdana" w:cs="宋体"/>
      <w:b/>
      <w:bCs/>
      <w:kern w:val="0"/>
      <w:szCs w:val="21"/>
    </w:rPr>
  </w:style>
  <w:style w:type="paragraph" w:customStyle="1" w:styleId="68">
    <w:name w:val="样式15"/>
    <w:basedOn w:val="1"/>
    <w:qFormat/>
    <w:uiPriority w:val="0"/>
    <w:pPr>
      <w:spacing w:line="520" w:lineRule="exact"/>
      <w:jc w:val="center"/>
    </w:pPr>
    <w:rPr>
      <w:rFonts w:ascii="华文楷体" w:hAnsi="华文楷体" w:eastAsia="华文楷体"/>
      <w:b/>
      <w:sz w:val="32"/>
      <w:szCs w:val="32"/>
    </w:rPr>
  </w:style>
  <w:style w:type="paragraph" w:customStyle="1" w:styleId="69">
    <w:name w:val="Char Char Char Char Char Char Char Char Char1"/>
    <w:basedOn w:val="1"/>
    <w:qFormat/>
    <w:uiPriority w:val="0"/>
    <w:pPr>
      <w:widowControl/>
      <w:spacing w:line="240" w:lineRule="exact"/>
      <w:jc w:val="left"/>
    </w:pPr>
    <w:rPr>
      <w:rFonts w:ascii="Verdana" w:hAnsi="Verdana"/>
      <w:kern w:val="0"/>
      <w:sz w:val="20"/>
      <w:szCs w:val="20"/>
      <w:lang w:eastAsia="en-US"/>
    </w:rPr>
  </w:style>
  <w:style w:type="paragraph" w:customStyle="1" w:styleId="70">
    <w:name w:val="Char2"/>
    <w:basedOn w:val="1"/>
    <w:qFormat/>
    <w:uiPriority w:val="0"/>
    <w:pPr>
      <w:tabs>
        <w:tab w:val="left" w:pos="840"/>
      </w:tabs>
      <w:ind w:left="840" w:hanging="420"/>
    </w:pPr>
    <w:rPr>
      <w:sz w:val="24"/>
    </w:rPr>
  </w:style>
  <w:style w:type="paragraph" w:customStyle="1" w:styleId="71">
    <w:name w:val="Char1 Char Char Char Char Char Char"/>
    <w:basedOn w:val="1"/>
    <w:qFormat/>
    <w:uiPriority w:val="0"/>
    <w:rPr>
      <w:rFonts w:ascii="Tahoma" w:hAnsi="Tahoma"/>
      <w:sz w:val="24"/>
      <w:szCs w:val="20"/>
    </w:rPr>
  </w:style>
  <w:style w:type="paragraph" w:customStyle="1" w:styleId="72">
    <w:name w:val="Char Char Char Char Char Char Char1"/>
    <w:basedOn w:val="1"/>
    <w:qFormat/>
    <w:uiPriority w:val="0"/>
    <w:pPr>
      <w:widowControl/>
      <w:spacing w:line="360" w:lineRule="auto"/>
      <w:ind w:firstLine="200" w:firstLineChars="200"/>
      <w:jc w:val="left"/>
    </w:pPr>
    <w:rPr>
      <w:rFonts w:ascii="Verdana" w:hAnsi="Verdana" w:eastAsia="黑体"/>
      <w:kern w:val="0"/>
      <w:szCs w:val="20"/>
      <w:lang w:eastAsia="en-US"/>
    </w:rPr>
  </w:style>
  <w:style w:type="paragraph" w:customStyle="1" w:styleId="73">
    <w:name w:val="规范正文"/>
    <w:basedOn w:val="1"/>
    <w:qFormat/>
    <w:uiPriority w:val="0"/>
    <w:pPr>
      <w:adjustRightInd w:val="0"/>
      <w:spacing w:line="360" w:lineRule="auto"/>
      <w:ind w:left="480"/>
      <w:textAlignment w:val="baseline"/>
    </w:pPr>
    <w:rPr>
      <w:kern w:val="0"/>
      <w:sz w:val="24"/>
      <w:szCs w:val="20"/>
    </w:rPr>
  </w:style>
  <w:style w:type="paragraph" w:customStyle="1" w:styleId="74">
    <w:name w:val="SADPOINT"/>
    <w:basedOn w:val="1"/>
    <w:qFormat/>
    <w:uiPriority w:val="0"/>
    <w:pPr>
      <w:widowControl/>
      <w:tabs>
        <w:tab w:val="right" w:pos="7655"/>
        <w:tab w:val="right" w:pos="8222"/>
      </w:tabs>
      <w:spacing w:line="240" w:lineRule="exact"/>
      <w:ind w:left="1702" w:right="1418" w:hanging="284"/>
    </w:pPr>
    <w:rPr>
      <w:rFonts w:ascii="Arial" w:hAnsi="Arial"/>
      <w:kern w:val="0"/>
      <w:sz w:val="22"/>
      <w:szCs w:val="20"/>
      <w:lang w:val="de-DE"/>
    </w:rPr>
  </w:style>
  <w:style w:type="paragraph" w:customStyle="1" w:styleId="75">
    <w:name w:val="Char Char Char Char Char Char Char Char Char Char"/>
    <w:basedOn w:val="1"/>
    <w:qFormat/>
    <w:uiPriority w:val="0"/>
    <w:pPr>
      <w:tabs>
        <w:tab w:val="left" w:pos="360"/>
      </w:tabs>
      <w:ind w:left="360" w:hanging="360" w:hangingChars="200"/>
    </w:pPr>
    <w:rPr>
      <w:sz w:val="24"/>
    </w:rPr>
  </w:style>
  <w:style w:type="paragraph" w:customStyle="1" w:styleId="76">
    <w:name w:val="xl32"/>
    <w:basedOn w:val="1"/>
    <w:qFormat/>
    <w:uiPriority w:val="0"/>
    <w:pPr>
      <w:widowControl/>
      <w:pBdr>
        <w:left w:val="single" w:color="auto" w:sz="4" w:space="0"/>
        <w:right w:val="single" w:color="auto" w:sz="4" w:space="0"/>
      </w:pBdr>
      <w:spacing w:beforeAutospacing="1" w:afterAutospacing="1"/>
      <w:jc w:val="center"/>
      <w:textAlignment w:val="top"/>
    </w:pPr>
    <w:rPr>
      <w:rFonts w:eastAsia="Arial Unicode MS"/>
      <w:kern w:val="0"/>
      <w:sz w:val="24"/>
    </w:rPr>
  </w:style>
  <w:style w:type="paragraph" w:customStyle="1" w:styleId="77">
    <w:name w:val="正文.表格"/>
    <w:basedOn w:val="1"/>
    <w:next w:val="1"/>
    <w:qFormat/>
    <w:uiPriority w:val="0"/>
    <w:pPr>
      <w:widowControl/>
      <w:jc w:val="center"/>
    </w:pPr>
    <w:rPr>
      <w:kern w:val="21"/>
      <w:szCs w:val="20"/>
    </w:rPr>
  </w:style>
  <w:style w:type="paragraph" w:customStyle="1" w:styleId="78">
    <w:name w:val="tabletext"/>
    <w:basedOn w:val="1"/>
    <w:qFormat/>
    <w:uiPriority w:val="0"/>
    <w:pPr>
      <w:widowControl/>
      <w:spacing w:beforeAutospacing="1" w:afterAutospacing="1"/>
      <w:jc w:val="left"/>
    </w:pPr>
    <w:rPr>
      <w:rFonts w:ascii="宋体" w:hAnsi="宋体" w:cs="宋体"/>
      <w:kern w:val="0"/>
      <w:sz w:val="24"/>
    </w:rPr>
  </w:style>
  <w:style w:type="character" w:customStyle="1" w:styleId="79">
    <w:name w:val="font101"/>
    <w:basedOn w:val="39"/>
    <w:qFormat/>
    <w:uiPriority w:val="0"/>
    <w:rPr>
      <w:rFonts w:hint="default" w:ascii="font-weight : 400" w:hAnsi="font-weight : 400" w:eastAsia="font-weight : 400" w:cs="font-weight : 400"/>
      <w:color w:val="000000"/>
      <w:sz w:val="18"/>
      <w:szCs w:val="18"/>
      <w:u w:val="none"/>
    </w:rPr>
  </w:style>
  <w:style w:type="character" w:customStyle="1" w:styleId="80">
    <w:name w:val="f16b1"/>
    <w:basedOn w:val="39"/>
    <w:qFormat/>
    <w:uiPriority w:val="0"/>
    <w:rPr>
      <w:b/>
      <w:bCs/>
      <w:color w:val="333333"/>
      <w:sz w:val="24"/>
      <w:szCs w:val="24"/>
    </w:rPr>
  </w:style>
  <w:style w:type="character" w:customStyle="1" w:styleId="81">
    <w:name w:val="标题 6 Char"/>
    <w:basedOn w:val="39"/>
    <w:link w:val="7"/>
    <w:qFormat/>
    <w:uiPriority w:val="0"/>
    <w:rPr>
      <w:rFonts w:ascii="Arial" w:hAnsi="Arial" w:eastAsia="黑体"/>
      <w:b/>
      <w:kern w:val="2"/>
      <w:sz w:val="24"/>
      <w:szCs w:val="24"/>
      <w:lang w:val="en-US" w:eastAsia="zh-CN" w:bidi="ar-SA"/>
    </w:rPr>
  </w:style>
  <w:style w:type="character" w:customStyle="1" w:styleId="82">
    <w:name w:val="bold gray"/>
    <w:basedOn w:val="39"/>
    <w:qFormat/>
    <w:uiPriority w:val="0"/>
  </w:style>
  <w:style w:type="character" w:customStyle="1" w:styleId="83">
    <w:name w:val="lineheigh"/>
    <w:basedOn w:val="39"/>
    <w:qFormat/>
    <w:uiPriority w:val="0"/>
  </w:style>
  <w:style w:type="character" w:customStyle="1" w:styleId="84">
    <w:name w:val="lineheigh201"/>
    <w:basedOn w:val="39"/>
    <w:qFormat/>
    <w:uiPriority w:val="0"/>
  </w:style>
  <w:style w:type="character" w:customStyle="1" w:styleId="85">
    <w:name w:val="标题 2 Char"/>
    <w:basedOn w:val="39"/>
    <w:link w:val="3"/>
    <w:qFormat/>
    <w:uiPriority w:val="0"/>
    <w:rPr>
      <w:rFonts w:ascii="Arial" w:hAnsi="Arial" w:eastAsia="黑体"/>
      <w:b/>
      <w:kern w:val="2"/>
      <w:sz w:val="32"/>
      <w:szCs w:val="24"/>
      <w:lang w:val="en-US" w:eastAsia="zh-CN" w:bidi="ar-SA"/>
    </w:rPr>
  </w:style>
  <w:style w:type="character" w:customStyle="1" w:styleId="86">
    <w:name w:val="标题 7 Char"/>
    <w:basedOn w:val="39"/>
    <w:link w:val="8"/>
    <w:qFormat/>
    <w:uiPriority w:val="0"/>
    <w:rPr>
      <w:rFonts w:eastAsia="宋体"/>
      <w:b/>
      <w:kern w:val="2"/>
      <w:sz w:val="24"/>
      <w:szCs w:val="24"/>
      <w:lang w:val="en-US" w:eastAsia="zh-CN" w:bidi="ar-SA"/>
    </w:rPr>
  </w:style>
  <w:style w:type="character" w:customStyle="1" w:styleId="87">
    <w:name w:val="css12"/>
    <w:basedOn w:val="39"/>
    <w:qFormat/>
    <w:uiPriority w:val="0"/>
  </w:style>
  <w:style w:type="character" w:customStyle="1" w:styleId="88">
    <w:name w:val="style41"/>
    <w:basedOn w:val="39"/>
    <w:qFormat/>
    <w:uiPriority w:val="0"/>
  </w:style>
  <w:style w:type="character" w:customStyle="1" w:styleId="89">
    <w:name w:val="标题 4 Char"/>
    <w:basedOn w:val="39"/>
    <w:link w:val="5"/>
    <w:qFormat/>
    <w:uiPriority w:val="0"/>
    <w:rPr>
      <w:rFonts w:ascii="Arial" w:hAnsi="Arial" w:eastAsia="黑体"/>
      <w:b/>
      <w:kern w:val="2"/>
      <w:sz w:val="28"/>
      <w:szCs w:val="24"/>
      <w:lang w:val="en-US" w:eastAsia="zh-CN" w:bidi="ar-SA"/>
    </w:rPr>
  </w:style>
  <w:style w:type="character" w:customStyle="1" w:styleId="90">
    <w:name w:val="Char Char15"/>
    <w:basedOn w:val="39"/>
    <w:qFormat/>
    <w:uiPriority w:val="0"/>
    <w:rPr>
      <w:rFonts w:eastAsia="宋体"/>
      <w:b/>
      <w:kern w:val="44"/>
      <w:sz w:val="44"/>
      <w:lang w:val="en-US" w:eastAsia="zh-CN" w:bidi="ar-SA"/>
    </w:rPr>
  </w:style>
  <w:style w:type="character" w:customStyle="1" w:styleId="91">
    <w:name w:val="aa"/>
    <w:basedOn w:val="39"/>
    <w:qFormat/>
    <w:uiPriority w:val="0"/>
  </w:style>
  <w:style w:type="character" w:customStyle="1" w:styleId="92">
    <w:name w:val="msonormal style29 style36"/>
    <w:basedOn w:val="39"/>
    <w:qFormat/>
    <w:uiPriority w:val="0"/>
  </w:style>
  <w:style w:type="character" w:customStyle="1" w:styleId="93">
    <w:name w:val="页眉 Char"/>
    <w:basedOn w:val="39"/>
    <w:link w:val="28"/>
    <w:qFormat/>
    <w:uiPriority w:val="0"/>
    <w:rPr>
      <w:rFonts w:eastAsia="宋体"/>
      <w:kern w:val="2"/>
      <w:sz w:val="18"/>
      <w:szCs w:val="18"/>
      <w:lang w:val="en-US" w:eastAsia="zh-CN" w:bidi="ar-SA"/>
    </w:rPr>
  </w:style>
  <w:style w:type="character" w:customStyle="1" w:styleId="94">
    <w:name w:val="pt10"/>
    <w:basedOn w:val="39"/>
    <w:qFormat/>
    <w:uiPriority w:val="0"/>
  </w:style>
  <w:style w:type="character" w:customStyle="1" w:styleId="95">
    <w:name w:val="标题 5 Char"/>
    <w:basedOn w:val="39"/>
    <w:link w:val="6"/>
    <w:qFormat/>
    <w:uiPriority w:val="0"/>
    <w:rPr>
      <w:rFonts w:eastAsia="宋体"/>
      <w:b/>
      <w:kern w:val="2"/>
      <w:sz w:val="28"/>
      <w:szCs w:val="24"/>
      <w:lang w:val="en-US" w:eastAsia="zh-CN" w:bidi="ar-SA"/>
    </w:rPr>
  </w:style>
  <w:style w:type="character" w:customStyle="1" w:styleId="96">
    <w:name w:val="12xz"/>
    <w:basedOn w:val="39"/>
    <w:qFormat/>
    <w:uiPriority w:val="0"/>
  </w:style>
  <w:style w:type="character" w:customStyle="1" w:styleId="97">
    <w:name w:val="font142001"/>
    <w:qFormat/>
    <w:uiPriority w:val="0"/>
    <w:rPr>
      <w:color w:val="999999"/>
      <w:sz w:val="21"/>
      <w:szCs w:val="21"/>
    </w:rPr>
  </w:style>
  <w:style w:type="character" w:customStyle="1" w:styleId="98">
    <w:name w:val="标题 9 Char"/>
    <w:basedOn w:val="39"/>
    <w:link w:val="10"/>
    <w:qFormat/>
    <w:uiPriority w:val="0"/>
    <w:rPr>
      <w:rFonts w:ascii="Arial" w:hAnsi="Arial" w:eastAsia="黑体"/>
      <w:kern w:val="2"/>
      <w:sz w:val="21"/>
      <w:szCs w:val="24"/>
      <w:lang w:val="en-US" w:eastAsia="zh-CN" w:bidi="ar-SA"/>
    </w:rPr>
  </w:style>
  <w:style w:type="character" w:customStyle="1" w:styleId="99">
    <w:name w:val="标题 8 Char"/>
    <w:basedOn w:val="39"/>
    <w:link w:val="9"/>
    <w:qFormat/>
    <w:uiPriority w:val="0"/>
    <w:rPr>
      <w:rFonts w:ascii="Arial" w:hAnsi="Arial" w:eastAsia="黑体"/>
      <w:kern w:val="2"/>
      <w:sz w:val="24"/>
      <w:szCs w:val="24"/>
      <w:lang w:val="en-US" w:eastAsia="zh-CN" w:bidi="ar-SA"/>
    </w:rPr>
  </w:style>
  <w:style w:type="character" w:customStyle="1" w:styleId="100">
    <w:name w:val="font01"/>
    <w:basedOn w:val="39"/>
    <w:qFormat/>
    <w:uiPriority w:val="0"/>
    <w:rPr>
      <w:rFonts w:ascii="font-weight : 400" w:hAnsi="font-weight : 400" w:eastAsia="font-weight : 400" w:cs="font-weight : 400"/>
      <w:color w:val="000000"/>
      <w:sz w:val="22"/>
      <w:szCs w:val="22"/>
      <w:u w:val="none"/>
    </w:rPr>
  </w:style>
  <w:style w:type="character" w:customStyle="1" w:styleId="101">
    <w:name w:val="b titlename wangputoptitle"/>
    <w:basedOn w:val="39"/>
    <w:qFormat/>
    <w:uiPriority w:val="0"/>
  </w:style>
  <w:style w:type="character" w:customStyle="1" w:styleId="102">
    <w:name w:val="font61"/>
    <w:basedOn w:val="39"/>
    <w:qFormat/>
    <w:uiPriority w:val="0"/>
    <w:rPr>
      <w:rFonts w:hint="default" w:ascii="Calibri" w:hAnsi="Calibri" w:cs="Calibri"/>
      <w:color w:val="000000"/>
      <w:sz w:val="21"/>
      <w:szCs w:val="21"/>
      <w:u w:val="none"/>
    </w:rPr>
  </w:style>
  <w:style w:type="character" w:customStyle="1" w:styleId="103">
    <w:name w:val="日期 Char"/>
    <w:basedOn w:val="39"/>
    <w:link w:val="24"/>
    <w:qFormat/>
    <w:uiPriority w:val="0"/>
    <w:rPr>
      <w:rFonts w:eastAsia="黑体"/>
      <w:b/>
      <w:spacing w:val="-2"/>
      <w:kern w:val="2"/>
      <w:sz w:val="30"/>
      <w:szCs w:val="24"/>
      <w:lang w:val="en-US" w:eastAsia="zh-CN" w:bidi="ar-SA"/>
    </w:rPr>
  </w:style>
  <w:style w:type="character" w:customStyle="1" w:styleId="104">
    <w:name w:val="fieldtext"/>
    <w:basedOn w:val="39"/>
    <w:qFormat/>
    <w:uiPriority w:val="0"/>
  </w:style>
  <w:style w:type="character" w:customStyle="1" w:styleId="105">
    <w:name w:val="wd12hei221"/>
    <w:basedOn w:val="39"/>
    <w:qFormat/>
    <w:uiPriority w:val="0"/>
    <w:rPr>
      <w:color w:val="000000"/>
      <w:sz w:val="18"/>
      <w:szCs w:val="18"/>
      <w:u w:val="none"/>
    </w:rPr>
  </w:style>
  <w:style w:type="character" w:customStyle="1" w:styleId="106">
    <w:name w:val="body1"/>
    <w:basedOn w:val="39"/>
    <w:qFormat/>
    <w:uiPriority w:val="0"/>
    <w:rPr>
      <w:rFonts w:hint="default" w:ascii="Verdana" w:hAnsi="Verdana"/>
      <w:color w:val="000000"/>
      <w:sz w:val="19"/>
      <w:szCs w:val="19"/>
    </w:rPr>
  </w:style>
  <w:style w:type="character" w:customStyle="1" w:styleId="107">
    <w:name w:val="标题 1 Char"/>
    <w:basedOn w:val="39"/>
    <w:link w:val="2"/>
    <w:qFormat/>
    <w:uiPriority w:val="0"/>
    <w:rPr>
      <w:rFonts w:eastAsia="宋体"/>
      <w:b/>
      <w:kern w:val="44"/>
      <w:sz w:val="44"/>
      <w:szCs w:val="24"/>
      <w:lang w:val="en-US" w:eastAsia="zh-CN" w:bidi="ar-SA"/>
    </w:rPr>
  </w:style>
  <w:style w:type="character" w:customStyle="1" w:styleId="108">
    <w:name w:val="font11"/>
    <w:basedOn w:val="39"/>
    <w:qFormat/>
    <w:uiPriority w:val="0"/>
    <w:rPr>
      <w:rFonts w:hint="eastAsia" w:ascii="宋体" w:hAnsi="宋体" w:eastAsia="宋体" w:cs="宋体"/>
      <w:color w:val="000000"/>
      <w:sz w:val="21"/>
      <w:szCs w:val="21"/>
      <w:u w:val="none"/>
    </w:rPr>
  </w:style>
  <w:style w:type="character" w:customStyle="1" w:styleId="109">
    <w:name w:val="xl23"/>
    <w:basedOn w:val="39"/>
    <w:qFormat/>
    <w:uiPriority w:val="0"/>
  </w:style>
  <w:style w:type="character" w:customStyle="1" w:styleId="110">
    <w:name w:val="Char Char12"/>
    <w:basedOn w:val="39"/>
    <w:qFormat/>
    <w:uiPriority w:val="0"/>
    <w:rPr>
      <w:rFonts w:ascii="Arial" w:hAnsi="Arial" w:eastAsia="黑体"/>
      <w:sz w:val="24"/>
      <w:lang w:val="en-US" w:eastAsia="zh-CN" w:bidi="ar-SA"/>
    </w:rPr>
  </w:style>
  <w:style w:type="character" w:customStyle="1" w:styleId="111">
    <w:name w:val="style71"/>
    <w:basedOn w:val="39"/>
    <w:qFormat/>
    <w:uiPriority w:val="0"/>
    <w:rPr>
      <w:rFonts w:hint="eastAsia" w:ascii="新宋体" w:hAnsi="新宋体" w:eastAsia="新宋体"/>
      <w:b/>
      <w:bCs/>
      <w:color w:val="666666"/>
      <w:sz w:val="21"/>
      <w:szCs w:val="21"/>
    </w:rPr>
  </w:style>
  <w:style w:type="character" w:customStyle="1" w:styleId="112">
    <w:name w:val="Char Char11"/>
    <w:basedOn w:val="39"/>
    <w:qFormat/>
    <w:uiPriority w:val="0"/>
    <w:rPr>
      <w:rFonts w:ascii="Arial" w:hAnsi="Arial" w:eastAsia="黑体"/>
      <w:sz w:val="21"/>
      <w:lang w:val="en-US" w:eastAsia="zh-CN" w:bidi="ar-SA"/>
    </w:rPr>
  </w:style>
  <w:style w:type="character" w:customStyle="1" w:styleId="113">
    <w:name w:val="Char Char14"/>
    <w:basedOn w:val="39"/>
    <w:qFormat/>
    <w:uiPriority w:val="0"/>
    <w:rPr>
      <w:rFonts w:ascii="Arial" w:hAnsi="Arial" w:eastAsia="黑体"/>
      <w:b/>
      <w:sz w:val="24"/>
      <w:lang w:val="en-US" w:eastAsia="zh-CN" w:bidi="ar-SA"/>
    </w:rPr>
  </w:style>
  <w:style w:type="character" w:customStyle="1" w:styleId="114">
    <w:name w:val="Char Char13"/>
    <w:basedOn w:val="39"/>
    <w:qFormat/>
    <w:uiPriority w:val="0"/>
    <w:rPr>
      <w:rFonts w:eastAsia="宋体"/>
      <w:b/>
      <w:sz w:val="24"/>
      <w:lang w:val="en-US" w:eastAsia="zh-CN" w:bidi="ar-SA"/>
    </w:rPr>
  </w:style>
  <w:style w:type="character" w:customStyle="1" w:styleId="115">
    <w:name w:val="small"/>
    <w:basedOn w:val="39"/>
    <w:qFormat/>
    <w:uiPriority w:val="0"/>
  </w:style>
  <w:style w:type="character" w:customStyle="1" w:styleId="116">
    <w:name w:val="hei16b1"/>
    <w:basedOn w:val="39"/>
    <w:qFormat/>
    <w:uiPriority w:val="0"/>
    <w:rPr>
      <w:rFonts w:hint="default" w:ascii="Arial" w:hAnsi="Arial" w:cs="Arial"/>
      <w:b/>
      <w:bCs/>
      <w:color w:val="000000"/>
      <w:sz w:val="24"/>
      <w:szCs w:val="24"/>
    </w:rPr>
  </w:style>
  <w:style w:type="character" w:customStyle="1" w:styleId="117">
    <w:name w:val="breakword"/>
    <w:basedOn w:val="39"/>
    <w:qFormat/>
    <w:uiPriority w:val="0"/>
  </w:style>
  <w:style w:type="character" w:customStyle="1" w:styleId="118">
    <w:name w:val="正文文本 2 Char"/>
    <w:basedOn w:val="39"/>
    <w:link w:val="36"/>
    <w:qFormat/>
    <w:uiPriority w:val="0"/>
    <w:rPr>
      <w:rFonts w:ascii="Arial" w:hAnsi="Arial" w:eastAsia="宋体" w:cs="Arial"/>
      <w:color w:val="000000"/>
      <w:spacing w:val="10"/>
      <w:kern w:val="2"/>
      <w:sz w:val="30"/>
      <w:szCs w:val="24"/>
      <w:lang w:val="en-US" w:eastAsia="zh-CN" w:bidi="ar-SA"/>
    </w:rPr>
  </w:style>
  <w:style w:type="character" w:customStyle="1" w:styleId="119">
    <w:name w:val="font21"/>
    <w:basedOn w:val="39"/>
    <w:qFormat/>
    <w:uiPriority w:val="0"/>
    <w:rPr>
      <w:rFonts w:hint="eastAsia" w:ascii="宋体" w:hAnsi="宋体" w:eastAsia="宋体" w:cs="宋体"/>
      <w:color w:val="000000"/>
      <w:sz w:val="22"/>
      <w:szCs w:val="22"/>
      <w:u w:val="none"/>
    </w:rPr>
  </w:style>
  <w:style w:type="character" w:customStyle="1" w:styleId="120">
    <w:name w:val="标题 3 Char"/>
    <w:basedOn w:val="39"/>
    <w:link w:val="4"/>
    <w:qFormat/>
    <w:uiPriority w:val="0"/>
    <w:rPr>
      <w:rFonts w:eastAsia="宋体"/>
      <w:b/>
      <w:kern w:val="2"/>
      <w:sz w:val="32"/>
      <w:szCs w:val="24"/>
      <w:lang w:val="en-US" w:eastAsia="zh-CN" w:bidi="ar-SA"/>
    </w:rPr>
  </w:style>
  <w:style w:type="character" w:customStyle="1" w:styleId="121">
    <w:name w:val="页脚 Char"/>
    <w:basedOn w:val="39"/>
    <w:link w:val="27"/>
    <w:qFormat/>
    <w:uiPriority w:val="0"/>
    <w:rPr>
      <w:rFonts w:eastAsia="宋体"/>
      <w:kern w:val="2"/>
      <w:sz w:val="18"/>
      <w:szCs w:val="18"/>
      <w:lang w:val="en-US" w:eastAsia="zh-CN" w:bidi="ar-SA"/>
    </w:rPr>
  </w:style>
  <w:style w:type="character" w:customStyle="1" w:styleId="122">
    <w:name w:val="style91"/>
    <w:basedOn w:val="39"/>
    <w:qFormat/>
    <w:uiPriority w:val="0"/>
    <w:rPr>
      <w:rFonts w:hint="eastAsia" w:ascii="新宋体" w:hAnsi="新宋体" w:eastAsia="新宋体"/>
      <w:sz w:val="21"/>
      <w:szCs w:val="21"/>
    </w:rPr>
  </w:style>
  <w:style w:type="character" w:customStyle="1" w:styleId="123">
    <w:name w:val="unnamed11"/>
    <w:basedOn w:val="39"/>
    <w:qFormat/>
    <w:uiPriority w:val="0"/>
    <w:rPr>
      <w:color w:val="000000"/>
      <w:sz w:val="20"/>
      <w:szCs w:val="20"/>
    </w:rPr>
  </w:style>
  <w:style w:type="character" w:customStyle="1" w:styleId="124">
    <w:name w:val="font81"/>
    <w:basedOn w:val="39"/>
    <w:qFormat/>
    <w:uiPriority w:val="0"/>
    <w:rPr>
      <w:rFonts w:ascii="font-weight : 400" w:hAnsi="font-weight : 400" w:eastAsia="font-weight : 400" w:cs="font-weight : 400"/>
      <w:color w:val="000000"/>
      <w:sz w:val="21"/>
      <w:szCs w:val="21"/>
      <w:u w:val="none"/>
    </w:rPr>
  </w:style>
  <w:style w:type="character" w:customStyle="1" w:styleId="125">
    <w:name w:val="批注文字 Char"/>
    <w:basedOn w:val="39"/>
    <w:link w:val="12"/>
    <w:qFormat/>
    <w:uiPriority w:val="0"/>
    <w:rPr>
      <w:rFonts w:eastAsia="宋体"/>
      <w:kern w:val="2"/>
      <w:sz w:val="21"/>
      <w:szCs w:val="24"/>
      <w:lang w:val="en-US" w:eastAsia="zh-CN" w:bidi="ar-SA"/>
    </w:rPr>
  </w:style>
  <w:style w:type="character" w:customStyle="1" w:styleId="126">
    <w:name w:val="纯文本 Char"/>
    <w:basedOn w:val="39"/>
    <w:link w:val="22"/>
    <w:qFormat/>
    <w:uiPriority w:val="0"/>
    <w:rPr>
      <w:rFonts w:ascii="宋体" w:hAnsi="Courier New" w:eastAsia="宋体"/>
      <w:kern w:val="2"/>
      <w:sz w:val="21"/>
      <w:lang w:val="en-US" w:eastAsia="zh-CN" w:bidi="ar-SA"/>
    </w:rPr>
  </w:style>
  <w:style w:type="paragraph" w:customStyle="1" w:styleId="127">
    <w:name w:val="Heading 2"/>
    <w:basedOn w:val="1"/>
    <w:qFormat/>
    <w:uiPriority w:val="1"/>
    <w:pPr>
      <w:jc w:val="center"/>
      <w:outlineLvl w:val="2"/>
    </w:pPr>
    <w:rPr>
      <w:b/>
      <w:bCs/>
      <w:sz w:val="36"/>
      <w:szCs w:val="36"/>
    </w:rPr>
  </w:style>
  <w:style w:type="paragraph" w:customStyle="1" w:styleId="128">
    <w:name w:val="Heading 4"/>
    <w:basedOn w:val="1"/>
    <w:qFormat/>
    <w:uiPriority w:val="1"/>
    <w:pPr>
      <w:outlineLvl w:val="4"/>
    </w:pPr>
    <w:rPr>
      <w:b/>
      <w:bCs/>
      <w:sz w:val="30"/>
      <w:szCs w:val="30"/>
    </w:rPr>
  </w:style>
  <w:style w:type="paragraph" w:customStyle="1" w:styleId="129">
    <w:name w:val="列出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header" Target="header7.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zbc</Company>
  <Pages>36</Pages>
  <Words>3631</Words>
  <Characters>20701</Characters>
  <Lines>172</Lines>
  <Paragraphs>48</Paragraphs>
  <TotalTime>366</TotalTime>
  <ScaleCrop>false</ScaleCrop>
  <LinksUpToDate>false</LinksUpToDate>
  <CharactersWithSpaces>24284</CharactersWithSpaces>
  <Application>WPS Office_10.1.0.7643_F1E327BC-269C-435d-A152-05C5408002CA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2018-11-08T07:10:00Z</dcterms:created>
  <dc:creator>lzr</dc:creator>
  <cp:lastModifiedBy>校辉</cp:lastModifiedBy>
  <cp:lastPrinted>2018-11-08T02:26:00Z</cp:lastPrinted>
  <dcterms:modified xsi:type="dcterms:W3CDTF">2018-11-08T09:52:59Z</dcterms:modified>
  <dc:title>中华人民共和国</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2052-10.1.0.7643</vt:lpwstr>
  </property>
</Properties>
</file>